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06A59" w14:textId="45569E06" w:rsidR="00D53696" w:rsidRDefault="00436C1E" w:rsidP="0001656D">
      <w:pPr>
        <w:spacing w:after="0" w:line="280" w:lineRule="exact"/>
        <w:ind w:left="274" w:right="259"/>
        <w:rPr>
          <w:sz w:val="20"/>
          <w:szCs w:val="20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34FC2E" wp14:editId="3FE79A38">
                <wp:simplePos x="0" y="0"/>
                <wp:positionH relativeFrom="column">
                  <wp:posOffset>73660</wp:posOffset>
                </wp:positionH>
                <wp:positionV relativeFrom="paragraph">
                  <wp:posOffset>-37465</wp:posOffset>
                </wp:positionV>
                <wp:extent cx="6867525" cy="82867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AD88E" id="Rectangle 18" o:spid="_x0000_s1026" style="position:absolute;margin-left:5.8pt;margin-top:-2.95pt;width:540.75pt;height:6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lXPAIAAHQEAAAOAAAAZHJzL2Uyb0RvYy54bWysVG1v2jAQ/j5p/8Hy95GAgEJEqBBtp0nd&#10;Wq3bD3AcJ7Hmt50Ngf36nR1gdP02TZEs39l+7rnn7rK6PWhF9gK8tKak41FOiTDc1tK0Jf3+7eHD&#10;ghIfmKmZskaU9Cg8vV2/f7fqXSEmtrOqFkAQxPiidyXtQnBFlnneCc38yDph8LCxoFlAE9qsBtYj&#10;ulbZJM/nWW+hdmC58B69d8MhXSf8phE8PDWNF4GokiK3kFZIaxXXbL1iRQvMdZKfaLB/YKGZNBj0&#10;AnXHAiM7kG+gtORgvW3CiFud2aaRXKQcMJtx/lc2Lx1zIuWC4nh3kcn/P1j+Zf8MRNZYO6yUYRpr&#10;9BVVY6ZVgqAPBeqdL/Dei3uGmKJ3j5b/8MTYbYfXxAbA9p1gNdIax/vZqwfR8PiUVP1nWyM82wWb&#10;tDo0oCMgqkAOqSTHS0nEIRCOzvlifjObzCjheLaYRCuFYMX5tQMfPgqrSdyUFJB8Qmf7Rx8iG1ac&#10;ryT2Vsn6QSqVjNhmYquA7Bk2SNWO01O100h18C1neX5qE3RjMw3u5ELo1KgRIQXy1+DKkL6ky8j+&#10;bWBoq0vY+038Tmm9gtAy4HQoqTF3pHEmEsW+N3Xq3cCkGvbIRpmT+lHwoXCVrY8oPtih9XFUcdNZ&#10;+EVJj21fUv9zx0BQoj4ZLOByPJ3GOUnGdHYzQQOuT6rrE2Y4QpU0UDJst2GYrZ0D2XYYaRDU2A0W&#10;vZGpHrEhBlYnstjaSb3TGMbZubbTrT8/i/VvAAAA//8DAFBLAwQUAAYACAAAACEAlTYRcuAAAAAK&#10;AQAADwAAAGRycy9kb3ducmV2LnhtbEyPwW7CMBBE75X6D9ZW6g2cUJqWNA6qkCJVVTmUop5NvCQR&#10;9jqKDYS/73Iqtx3NaPZNsRydFSccQudJQTpNQCDV3nTUKNj+VJNXECFqMtp6QgUXDLAs7+8KnRt/&#10;pm88bWIjuIRCrhW0Mfa5lKFu0ekw9T0Se3s/OB1ZDo00gz5zubNyliSZdLoj/tDqHlct1ofN0SlY&#10;Y92v9r/V/Oslay6f62prh4+DUo8P4/sbiIhj/A/DFZ/RoWSmnT+SCcKyTjNOKpg8L0Bc/WTxlILY&#10;8TWbZyDLQt5OKP8AAAD//wMAUEsBAi0AFAAGAAgAAAAhALaDOJL+AAAA4QEAABMAAAAAAAAAAAAA&#10;AAAAAAAAAFtDb250ZW50X1R5cGVzXS54bWxQSwECLQAUAAYACAAAACEAOP0h/9YAAACUAQAACwAA&#10;AAAAAAAAAAAAAAAvAQAAX3JlbHMvLnJlbHNQSwECLQAUAAYACAAAACEA1QmpVzwCAAB0BAAADgAA&#10;AAAAAAAAAAAAAAAuAgAAZHJzL2Uyb0RvYy54bWxQSwECLQAUAAYACAAAACEAlTYRcuAAAAAKAQAA&#10;DwAAAAAAAAAAAAAAAACWBAAAZHJzL2Rvd25yZXYueG1sUEsFBgAAAAAEAAQA8wAAAKMFAAAAAA==&#10;" fillcolor="#f2f2f2 [3052]" strokecolor="#eaeaea"/>
            </w:pict>
          </mc:Fallback>
        </mc:AlternateContent>
      </w:r>
      <w:r w:rsidR="008B6BDC">
        <w:rPr>
          <w:b/>
          <w:bCs/>
          <w:sz w:val="24"/>
          <w:szCs w:val="24"/>
        </w:rPr>
        <w:t xml:space="preserve">IMPORTANT NOTE:                                                                                                                                                                                                                        </w:t>
      </w:r>
      <w:r w:rsidRPr="00436C1E">
        <w:rPr>
          <w:sz w:val="20"/>
          <w:szCs w:val="20"/>
        </w:rPr>
        <w:t xml:space="preserve">Hospitality properties can take steps to access and improve their preparedness for responding to </w:t>
      </w:r>
      <w:r w:rsidR="00E81C53">
        <w:rPr>
          <w:sz w:val="20"/>
          <w:szCs w:val="20"/>
        </w:rPr>
        <w:t>C</w:t>
      </w:r>
      <w:r w:rsidRPr="00436C1E">
        <w:rPr>
          <w:sz w:val="20"/>
          <w:szCs w:val="20"/>
        </w:rPr>
        <w:t xml:space="preserve">oronavirus </w:t>
      </w:r>
      <w:r w:rsidR="00E81C53">
        <w:rPr>
          <w:sz w:val="20"/>
          <w:szCs w:val="20"/>
        </w:rPr>
        <w:t xml:space="preserve">Disease 2019 </w:t>
      </w:r>
      <w:r w:rsidRPr="00436C1E">
        <w:rPr>
          <w:sz w:val="20"/>
          <w:szCs w:val="20"/>
        </w:rPr>
        <w:t xml:space="preserve">(COVID-19). This checklist is one tool to </w:t>
      </w:r>
      <w:r w:rsidR="00035469">
        <w:rPr>
          <w:sz w:val="20"/>
          <w:szCs w:val="20"/>
        </w:rPr>
        <w:t xml:space="preserve">help </w:t>
      </w:r>
      <w:r w:rsidRPr="00436C1E">
        <w:rPr>
          <w:sz w:val="20"/>
          <w:szCs w:val="20"/>
        </w:rPr>
        <w:t>develop a comprehensive response plan. It identifies key areas that should be considered</w:t>
      </w:r>
      <w:r w:rsidR="00C239B5">
        <w:rPr>
          <w:sz w:val="20"/>
          <w:szCs w:val="20"/>
        </w:rPr>
        <w:t xml:space="preserve"> </w:t>
      </w:r>
      <w:r>
        <w:rPr>
          <w:sz w:val="20"/>
          <w:szCs w:val="20"/>
        </w:rPr>
        <w:t>and is not meant to describe mandatory requirements or standards</w:t>
      </w:r>
      <w:r w:rsidRPr="00436C1E">
        <w:rPr>
          <w:sz w:val="20"/>
          <w:szCs w:val="20"/>
        </w:rPr>
        <w:t>.</w:t>
      </w:r>
    </w:p>
    <w:p w14:paraId="58A33DCF" w14:textId="77777777" w:rsidR="0001656D" w:rsidRDefault="0001656D" w:rsidP="0001656D">
      <w:pPr>
        <w:spacing w:after="0" w:line="280" w:lineRule="exact"/>
        <w:ind w:left="270" w:right="259"/>
        <w:rPr>
          <w:sz w:val="20"/>
          <w:szCs w:val="20"/>
        </w:rPr>
      </w:pPr>
    </w:p>
    <w:p w14:paraId="32474556" w14:textId="77777777" w:rsidR="006164A6" w:rsidRPr="0001656D" w:rsidRDefault="006164A6" w:rsidP="006164A6">
      <w:pPr>
        <w:spacing w:after="0" w:line="240" w:lineRule="auto"/>
        <w:ind w:left="86"/>
        <w:rPr>
          <w:rFonts w:asciiTheme="minorHAnsi" w:eastAsiaTheme="minorHAnsi" w:hAnsiTheme="minorHAnsi"/>
          <w:b/>
          <w:bCs/>
          <w:sz w:val="8"/>
          <w:szCs w:val="8"/>
        </w:rPr>
      </w:pPr>
    </w:p>
    <w:tbl>
      <w:tblPr>
        <w:tblW w:w="10782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0"/>
        <w:gridCol w:w="1062"/>
        <w:gridCol w:w="990"/>
        <w:gridCol w:w="1170"/>
      </w:tblGrid>
      <w:tr w:rsidR="0001656D" w:rsidRPr="0001656D" w14:paraId="3141C036" w14:textId="3AB4F193" w:rsidTr="005832FA">
        <w:trPr>
          <w:cantSplit/>
          <w:trHeight w:val="432"/>
        </w:trPr>
        <w:tc>
          <w:tcPr>
            <w:tcW w:w="7560" w:type="dxa"/>
            <w:shd w:val="clear" w:color="auto" w:fill="365F91" w:themeFill="accent1" w:themeFillShade="BF"/>
            <w:vAlign w:val="center"/>
            <w:hideMark/>
          </w:tcPr>
          <w:p w14:paraId="07D8F2D4" w14:textId="2919E12E" w:rsidR="000A25E7" w:rsidRPr="005832FA" w:rsidRDefault="00F40461" w:rsidP="00F40461">
            <w:pPr>
              <w:spacing w:after="0" w:line="192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5832FA">
              <w:rPr>
                <w:b/>
                <w:color w:val="FFFFFF" w:themeColor="background1"/>
                <w:sz w:val="20"/>
                <w:szCs w:val="20"/>
              </w:rPr>
              <w:t>STRUCTURE FOR PLAN</w:t>
            </w:r>
          </w:p>
        </w:tc>
        <w:tc>
          <w:tcPr>
            <w:tcW w:w="1062" w:type="dxa"/>
            <w:shd w:val="clear" w:color="auto" w:fill="365F91" w:themeFill="accent1" w:themeFillShade="BF"/>
            <w:vAlign w:val="center"/>
          </w:tcPr>
          <w:p w14:paraId="28E86BDC" w14:textId="68C08408" w:rsidR="000A25E7" w:rsidRPr="005832FA" w:rsidRDefault="000A25E7" w:rsidP="00F40461">
            <w:pPr>
              <w:spacing w:after="0" w:line="192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5832FA">
              <w:rPr>
                <w:rFonts w:asciiTheme="minorHAnsi" w:eastAsia="Times New Roman" w:hAnsiTheme="minorHAnsi" w:cstheme="minorHAnsi"/>
                <w:b/>
                <w:color w:val="FFFFFF" w:themeColor="background1"/>
                <w:sz w:val="16"/>
                <w:szCs w:val="16"/>
              </w:rPr>
              <w:t>Completed</w:t>
            </w:r>
          </w:p>
        </w:tc>
        <w:tc>
          <w:tcPr>
            <w:tcW w:w="990" w:type="dxa"/>
            <w:shd w:val="clear" w:color="auto" w:fill="365F91" w:themeFill="accent1" w:themeFillShade="BF"/>
            <w:vAlign w:val="center"/>
          </w:tcPr>
          <w:p w14:paraId="777E9D47" w14:textId="4FBD6983" w:rsidR="000A25E7" w:rsidRPr="005832FA" w:rsidRDefault="000A25E7" w:rsidP="00F40461">
            <w:pPr>
              <w:spacing w:after="0" w:line="192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5832FA">
              <w:rPr>
                <w:rFonts w:asciiTheme="minorHAnsi" w:eastAsia="Times New Roman" w:hAnsiTheme="minorHAnsi" w:cstheme="minorHAnsi"/>
                <w:b/>
                <w:color w:val="FFFFFF" w:themeColor="background1"/>
                <w:sz w:val="16"/>
                <w:szCs w:val="16"/>
              </w:rPr>
              <w:t>In Progress</w:t>
            </w:r>
          </w:p>
        </w:tc>
        <w:tc>
          <w:tcPr>
            <w:tcW w:w="1170" w:type="dxa"/>
            <w:shd w:val="clear" w:color="auto" w:fill="365F91" w:themeFill="accent1" w:themeFillShade="BF"/>
            <w:vAlign w:val="center"/>
          </w:tcPr>
          <w:p w14:paraId="4AA4639A" w14:textId="21E74CEC" w:rsidR="000A25E7" w:rsidRPr="005832FA" w:rsidRDefault="000A25E7" w:rsidP="00F40461">
            <w:pPr>
              <w:spacing w:after="0" w:line="192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5832FA">
              <w:rPr>
                <w:rFonts w:asciiTheme="minorHAnsi" w:eastAsia="Times New Roman" w:hAnsiTheme="minorHAnsi" w:cstheme="minorHAnsi"/>
                <w:b/>
                <w:color w:val="FFFFFF" w:themeColor="background1"/>
                <w:sz w:val="16"/>
                <w:szCs w:val="16"/>
              </w:rPr>
              <w:t>Not Started</w:t>
            </w:r>
          </w:p>
        </w:tc>
      </w:tr>
      <w:tr w:rsidR="00B35F57" w:rsidRPr="00280F25" w14:paraId="5EDD03AA" w14:textId="77777777" w:rsidTr="0001656D">
        <w:trPr>
          <w:cantSplit/>
          <w:trHeight w:val="1992"/>
        </w:trPr>
        <w:tc>
          <w:tcPr>
            <w:tcW w:w="7560" w:type="dxa"/>
            <w:shd w:val="clear" w:color="auto" w:fill="auto"/>
            <w:vAlign w:val="center"/>
          </w:tcPr>
          <w:p w14:paraId="478BBE2A" w14:textId="62D1A0F0" w:rsidR="00B35F57" w:rsidRPr="0001656D" w:rsidRDefault="001545FD" w:rsidP="000A25E7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rFonts w:ascii="Calibri" w:hAnsi="Calibri" w:cs="Calibri"/>
                <w:szCs w:val="18"/>
              </w:rPr>
            </w:pPr>
            <w:r w:rsidRPr="0001656D">
              <w:rPr>
                <w:rFonts w:ascii="Calibri" w:hAnsi="Calibri" w:cs="Calibri"/>
                <w:szCs w:val="18"/>
              </w:rPr>
              <w:t xml:space="preserve">Planning </w:t>
            </w:r>
            <w:r w:rsidR="00280A97" w:rsidRPr="0001656D">
              <w:rPr>
                <w:rFonts w:ascii="Calibri" w:hAnsi="Calibri" w:cs="Calibri"/>
                <w:szCs w:val="18"/>
              </w:rPr>
              <w:t xml:space="preserve">team exists to develop the preparedness and response actions outlined in this preparedness checklist. </w:t>
            </w:r>
            <w:r w:rsidR="00B35F57" w:rsidRPr="0001656D">
              <w:rPr>
                <w:rFonts w:ascii="Calibri" w:hAnsi="Calibri" w:cs="Calibri"/>
                <w:szCs w:val="18"/>
              </w:rPr>
              <w:t>Planning team members include:</w:t>
            </w:r>
          </w:p>
          <w:p w14:paraId="207405DE" w14:textId="25B8E7C8" w:rsidR="00B35F57" w:rsidRPr="0001656D" w:rsidRDefault="00035469" w:rsidP="00F40461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Regional</w:t>
            </w:r>
            <w:r w:rsidR="00F40461" w:rsidRPr="0001656D">
              <w:rPr>
                <w:rFonts w:ascii="Calibri" w:hAnsi="Calibri" w:cs="Calibri"/>
                <w:szCs w:val="18"/>
              </w:rPr>
              <w:t xml:space="preserve"> Manager</w:t>
            </w:r>
          </w:p>
          <w:p w14:paraId="4C7190F9" w14:textId="6C9AF64F" w:rsidR="00F40461" w:rsidRPr="0001656D" w:rsidRDefault="00F40461" w:rsidP="00F40461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rFonts w:ascii="Calibri" w:hAnsi="Calibri" w:cs="Calibri"/>
                <w:szCs w:val="18"/>
              </w:rPr>
            </w:pPr>
            <w:r w:rsidRPr="0001656D">
              <w:rPr>
                <w:rFonts w:ascii="Calibri" w:hAnsi="Calibri" w:cs="Calibri"/>
                <w:szCs w:val="18"/>
              </w:rPr>
              <w:t>General Manager</w:t>
            </w:r>
          </w:p>
          <w:p w14:paraId="3D968D4C" w14:textId="77777777" w:rsidR="00F40461" w:rsidRPr="0001656D" w:rsidRDefault="00F40461" w:rsidP="00F40461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rFonts w:ascii="Calibri" w:hAnsi="Calibri" w:cs="Calibri"/>
                <w:szCs w:val="18"/>
              </w:rPr>
            </w:pPr>
            <w:r w:rsidRPr="0001656D">
              <w:rPr>
                <w:rFonts w:ascii="Calibri" w:hAnsi="Calibri" w:cs="Calibri"/>
                <w:szCs w:val="18"/>
              </w:rPr>
              <w:t>Human Resources Manager</w:t>
            </w:r>
          </w:p>
          <w:p w14:paraId="0FE82851" w14:textId="63BBFAEF" w:rsidR="00F40461" w:rsidRPr="0001656D" w:rsidRDefault="00F40461" w:rsidP="00F40461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rFonts w:ascii="Calibri" w:hAnsi="Calibri" w:cs="Calibri"/>
                <w:szCs w:val="18"/>
              </w:rPr>
            </w:pPr>
            <w:r w:rsidRPr="0001656D">
              <w:rPr>
                <w:rFonts w:ascii="Calibri" w:hAnsi="Calibri" w:cs="Calibri"/>
                <w:szCs w:val="18"/>
              </w:rPr>
              <w:t>Executive Housekeeper</w:t>
            </w:r>
          </w:p>
          <w:p w14:paraId="3B2D73E3" w14:textId="44297F8C" w:rsidR="00F40461" w:rsidRPr="0001656D" w:rsidRDefault="00035469" w:rsidP="00F40461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Food &amp; Beverage Manager</w:t>
            </w:r>
          </w:p>
          <w:p w14:paraId="02383DF9" w14:textId="1A19C45B" w:rsidR="00F40461" w:rsidRPr="0001656D" w:rsidRDefault="00F40461" w:rsidP="00F40461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rFonts w:ascii="Calibri" w:hAnsi="Calibri" w:cs="Calibri"/>
                <w:szCs w:val="18"/>
              </w:rPr>
            </w:pPr>
            <w:r w:rsidRPr="0001656D">
              <w:rPr>
                <w:rFonts w:ascii="Calibri" w:hAnsi="Calibri" w:cs="Calibri"/>
                <w:szCs w:val="18"/>
              </w:rPr>
              <w:t>Maintenance / Engineering Manager / Supervisor</w:t>
            </w:r>
          </w:p>
          <w:p w14:paraId="20651988" w14:textId="03F330D4" w:rsidR="00B35F57" w:rsidRPr="0001656D" w:rsidRDefault="00F40461" w:rsidP="00F40461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rFonts w:ascii="Calibri" w:hAnsi="Calibri" w:cs="Calibri"/>
                <w:szCs w:val="18"/>
              </w:rPr>
            </w:pPr>
            <w:r w:rsidRPr="0001656D">
              <w:rPr>
                <w:rFonts w:ascii="Calibri" w:hAnsi="Calibri" w:cs="Calibri"/>
                <w:szCs w:val="18"/>
              </w:rPr>
              <w:t>Purchasing</w:t>
            </w:r>
          </w:p>
          <w:p w14:paraId="4BACA923" w14:textId="77777777" w:rsidR="00353DDA" w:rsidRPr="0001656D" w:rsidRDefault="00353DDA" w:rsidP="00F40461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rFonts w:ascii="Calibri" w:hAnsi="Calibri" w:cs="Calibri"/>
                <w:szCs w:val="18"/>
              </w:rPr>
            </w:pPr>
            <w:r w:rsidRPr="0001656D">
              <w:rPr>
                <w:rFonts w:ascii="Calibri" w:hAnsi="Calibri" w:cs="Calibri"/>
                <w:szCs w:val="18"/>
              </w:rPr>
              <w:t>&lt;Other&gt;</w:t>
            </w:r>
          </w:p>
          <w:p w14:paraId="6E7DCE8A" w14:textId="38A80243" w:rsidR="008A0A8F" w:rsidRPr="0001656D" w:rsidRDefault="008A0A8F" w:rsidP="008A0A8F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rFonts w:ascii="Calibri" w:hAnsi="Calibri" w:cs="Calibri"/>
                <w:szCs w:val="18"/>
              </w:rPr>
            </w:pPr>
            <w:r w:rsidRPr="0001656D">
              <w:rPr>
                <w:rFonts w:ascii="Calibri" w:hAnsi="Calibri" w:cs="Calibri"/>
                <w:i/>
                <w:szCs w:val="18"/>
              </w:rPr>
              <w:t>Identify and document names, titles, and contact information.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6B6969F5" w14:textId="252BAC91" w:rsidR="00B35F57" w:rsidRPr="0076638A" w:rsidRDefault="00B35F57" w:rsidP="000A25E7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612D683" w14:textId="77777777" w:rsidR="00B35F57" w:rsidRPr="0076638A" w:rsidRDefault="00B35F57" w:rsidP="000A25E7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BBC38D4" w14:textId="77777777" w:rsidR="00B35F57" w:rsidRPr="0076638A" w:rsidRDefault="00B35F57" w:rsidP="000A25E7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677195" w:rsidRPr="00280F25" w14:paraId="35F222BE" w14:textId="77777777" w:rsidTr="0001656D">
        <w:trPr>
          <w:cantSplit/>
          <w:trHeight w:val="403"/>
        </w:trPr>
        <w:tc>
          <w:tcPr>
            <w:tcW w:w="7560" w:type="dxa"/>
            <w:shd w:val="clear" w:color="auto" w:fill="auto"/>
            <w:vAlign w:val="center"/>
          </w:tcPr>
          <w:p w14:paraId="6ACE2510" w14:textId="77777777" w:rsidR="00677195" w:rsidRPr="0001656D" w:rsidRDefault="00677195" w:rsidP="004E1D7B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rFonts w:ascii="Calibri" w:hAnsi="Calibri" w:cs="Calibri"/>
                <w:szCs w:val="18"/>
              </w:rPr>
            </w:pPr>
            <w:r w:rsidRPr="0001656D">
              <w:rPr>
                <w:rFonts w:ascii="Calibri" w:hAnsi="Calibri" w:cs="Calibri"/>
                <w:szCs w:val="18"/>
              </w:rPr>
              <w:t xml:space="preserve">Staff assigned responsibility for coordinating preparedness planning to act as COVID-19 response coordinator(s). </w:t>
            </w:r>
            <w:r w:rsidRPr="0001656D">
              <w:rPr>
                <w:rFonts w:ascii="Calibri" w:hAnsi="Calibri" w:cs="Calibri"/>
                <w:i/>
                <w:szCs w:val="18"/>
              </w:rPr>
              <w:t>Identify and document names, titles, and contact information.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0170BEE4" w14:textId="766544BB" w:rsidR="00677195" w:rsidRPr="0076638A" w:rsidRDefault="0067719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D57EFD7" w14:textId="77777777" w:rsidR="00677195" w:rsidRPr="0076638A" w:rsidRDefault="0067719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1990219" w14:textId="77777777" w:rsidR="00677195" w:rsidRPr="0076638A" w:rsidRDefault="0067719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677195" w:rsidRPr="00280F25" w14:paraId="3E69A18D" w14:textId="77777777" w:rsidTr="0001656D">
        <w:trPr>
          <w:cantSplit/>
          <w:trHeight w:val="605"/>
        </w:trPr>
        <w:tc>
          <w:tcPr>
            <w:tcW w:w="7560" w:type="dxa"/>
            <w:shd w:val="clear" w:color="auto" w:fill="auto"/>
            <w:vAlign w:val="center"/>
          </w:tcPr>
          <w:p w14:paraId="309C5A51" w14:textId="0AB17D37" w:rsidR="00677195" w:rsidRPr="0001656D" w:rsidRDefault="00677195" w:rsidP="004E1D7B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rFonts w:ascii="Calibri" w:hAnsi="Calibri" w:cs="Calibri"/>
                <w:szCs w:val="18"/>
              </w:rPr>
            </w:pPr>
            <w:r w:rsidRPr="0001656D">
              <w:rPr>
                <w:rFonts w:ascii="Calibri" w:hAnsi="Calibri" w:cs="Calibri"/>
                <w:szCs w:val="18"/>
              </w:rPr>
              <w:t>Staff assigned responsibility for monitoring public health advisories and updating the COVID-19 response coordinator(s) and members of the planning team when COVID-19 is active in the community, and travel-associated areas or countries.</w:t>
            </w:r>
          </w:p>
        </w:tc>
        <w:tc>
          <w:tcPr>
            <w:tcW w:w="1062" w:type="dxa"/>
            <w:shd w:val="clear" w:color="auto" w:fill="auto"/>
          </w:tcPr>
          <w:p w14:paraId="7941A12D" w14:textId="77777777" w:rsidR="00677195" w:rsidRPr="0076638A" w:rsidRDefault="0067719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65D12DB0" w14:textId="77777777" w:rsidR="00677195" w:rsidRPr="0076638A" w:rsidRDefault="0067719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170" w:type="dxa"/>
            <w:shd w:val="clear" w:color="auto" w:fill="auto"/>
          </w:tcPr>
          <w:p w14:paraId="24D299F9" w14:textId="77777777" w:rsidR="00677195" w:rsidRPr="0076638A" w:rsidRDefault="0067719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677195" w:rsidRPr="00280F25" w14:paraId="7516DD91" w14:textId="77777777" w:rsidTr="0001656D">
        <w:trPr>
          <w:cantSplit/>
          <w:trHeight w:val="403"/>
        </w:trPr>
        <w:tc>
          <w:tcPr>
            <w:tcW w:w="7560" w:type="dxa"/>
            <w:shd w:val="clear" w:color="auto" w:fill="auto"/>
            <w:vAlign w:val="center"/>
          </w:tcPr>
          <w:p w14:paraId="42E27959" w14:textId="56BBD8D2" w:rsidR="00677195" w:rsidRPr="0001656D" w:rsidRDefault="00677195" w:rsidP="004E1D7B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rFonts w:ascii="Calibri" w:hAnsi="Calibri" w:cs="Calibri"/>
                <w:szCs w:val="18"/>
              </w:rPr>
            </w:pPr>
            <w:r w:rsidRPr="0001656D">
              <w:rPr>
                <w:rFonts w:ascii="Calibri" w:hAnsi="Calibri" w:cs="Calibri"/>
                <w:szCs w:val="18"/>
              </w:rPr>
              <w:t>Review and incorporate relevant sections of the federal, state, regional, or local plans for COVID-19 and pandemic influenza</w:t>
            </w:r>
            <w:r w:rsidR="0001656D">
              <w:rPr>
                <w:rFonts w:ascii="Calibri" w:hAnsi="Calibri" w:cs="Calibri"/>
                <w:szCs w:val="18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14:paraId="0556282C" w14:textId="77777777" w:rsidR="00677195" w:rsidRPr="0076638A" w:rsidRDefault="0067719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554FD57B" w14:textId="77777777" w:rsidR="00677195" w:rsidRPr="0076638A" w:rsidRDefault="0067719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170" w:type="dxa"/>
            <w:shd w:val="clear" w:color="auto" w:fill="auto"/>
          </w:tcPr>
          <w:p w14:paraId="72BDC40B" w14:textId="77777777" w:rsidR="00677195" w:rsidRPr="0076638A" w:rsidRDefault="0067719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1545FD" w:rsidRPr="00280F25" w14:paraId="0580C5C4" w14:textId="77777777" w:rsidTr="0001656D">
        <w:trPr>
          <w:cantSplit/>
          <w:trHeight w:val="403"/>
        </w:trPr>
        <w:tc>
          <w:tcPr>
            <w:tcW w:w="7560" w:type="dxa"/>
            <w:shd w:val="clear" w:color="auto" w:fill="auto"/>
            <w:vAlign w:val="center"/>
          </w:tcPr>
          <w:p w14:paraId="4C53D931" w14:textId="7F79DCEE" w:rsidR="001545FD" w:rsidRPr="0001656D" w:rsidRDefault="001545FD" w:rsidP="0069585A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rFonts w:ascii="Calibri" w:hAnsi="Calibri" w:cs="Calibri"/>
                <w:szCs w:val="18"/>
              </w:rPr>
            </w:pPr>
            <w:r w:rsidRPr="0001656D">
              <w:rPr>
                <w:rFonts w:ascii="Calibri" w:hAnsi="Calibri" w:cs="Calibri"/>
                <w:szCs w:val="18"/>
              </w:rPr>
              <w:t>COVID-19 has been incorporated into emergency management planning, and the Pandemic Influenza plan</w:t>
            </w:r>
            <w:r w:rsidR="0001656D">
              <w:rPr>
                <w:rFonts w:ascii="Calibri" w:hAnsi="Calibri" w:cs="Calibri"/>
                <w:szCs w:val="18"/>
              </w:rPr>
              <w:t>.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47C015C6" w14:textId="77777777" w:rsidR="001545FD" w:rsidRPr="0076638A" w:rsidRDefault="001545FD" w:rsidP="0069585A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F103921" w14:textId="77777777" w:rsidR="001545FD" w:rsidRPr="0076638A" w:rsidRDefault="001545FD" w:rsidP="0069585A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C6C658E" w14:textId="77777777" w:rsidR="001545FD" w:rsidRPr="0076638A" w:rsidRDefault="001545FD" w:rsidP="0069585A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0A25E7" w:rsidRPr="00280F25" w14:paraId="6FA6BEAD" w14:textId="17214D2F" w:rsidTr="0001656D">
        <w:trPr>
          <w:cantSplit/>
          <w:trHeight w:val="403"/>
        </w:trPr>
        <w:tc>
          <w:tcPr>
            <w:tcW w:w="7560" w:type="dxa"/>
            <w:shd w:val="clear" w:color="auto" w:fill="auto"/>
            <w:vAlign w:val="center"/>
          </w:tcPr>
          <w:p w14:paraId="2AACAA08" w14:textId="011DA534" w:rsidR="000A25E7" w:rsidRPr="0001656D" w:rsidRDefault="006007F6" w:rsidP="00CB4B5B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rFonts w:ascii="Calibri" w:hAnsi="Calibri" w:cs="Calibri"/>
                <w:szCs w:val="18"/>
                <w:lang w:bidi="en-US"/>
              </w:rPr>
            </w:pPr>
            <w:r w:rsidRPr="0001656D">
              <w:rPr>
                <w:rFonts w:ascii="Calibri" w:hAnsi="Calibri" w:cs="Calibri"/>
                <w:szCs w:val="18"/>
              </w:rPr>
              <w:t>A copy of the preparedness plan is available at the property and accessible by staff</w:t>
            </w:r>
            <w:r w:rsidR="0001656D">
              <w:rPr>
                <w:rFonts w:ascii="Calibri" w:hAnsi="Calibri" w:cs="Calibri"/>
                <w:szCs w:val="18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14:paraId="3D03BDBD" w14:textId="77777777" w:rsidR="000A25E7" w:rsidRPr="0076638A" w:rsidRDefault="000A25E7" w:rsidP="000A25E7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5392C46A" w14:textId="77777777" w:rsidR="000A25E7" w:rsidRPr="0076638A" w:rsidRDefault="000A25E7" w:rsidP="000A25E7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170" w:type="dxa"/>
            <w:shd w:val="clear" w:color="auto" w:fill="auto"/>
          </w:tcPr>
          <w:p w14:paraId="739AD153" w14:textId="77777777" w:rsidR="000A25E7" w:rsidRPr="0076638A" w:rsidRDefault="000A25E7" w:rsidP="000A25E7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01656D" w:rsidRPr="0001656D" w14:paraId="3D862658" w14:textId="77777777" w:rsidTr="00016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3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</w:tcPr>
          <w:p w14:paraId="4828D56F" w14:textId="77777777" w:rsidR="006164A6" w:rsidRPr="0001656D" w:rsidRDefault="006164A6" w:rsidP="004E1D7B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b/>
                <w:color w:val="FFFFFF" w:themeColor="background1"/>
                <w:szCs w:val="18"/>
              </w:rPr>
            </w:pPr>
            <w:r w:rsidRPr="0001656D">
              <w:rPr>
                <w:b/>
                <w:color w:val="FFFFFF" w:themeColor="background1"/>
                <w:sz w:val="20"/>
                <w:szCs w:val="18"/>
              </w:rPr>
              <w:t>CLEANING AND DISINFECTING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6190E075" w14:textId="77777777" w:rsidR="006164A6" w:rsidRPr="0001656D" w:rsidRDefault="006164A6" w:rsidP="004E1D7B">
            <w:pPr>
              <w:spacing w:after="0" w:line="192" w:lineRule="auto"/>
              <w:rPr>
                <w:rFonts w:asciiTheme="minorHAnsi" w:eastAsia="Times New Roman" w:hAnsiTheme="minorHAnsi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0DFFE03E" w14:textId="77777777" w:rsidR="006164A6" w:rsidRPr="0001656D" w:rsidRDefault="006164A6" w:rsidP="004E1D7B">
            <w:pPr>
              <w:spacing w:after="0" w:line="192" w:lineRule="auto"/>
              <w:rPr>
                <w:rFonts w:asciiTheme="minorHAnsi" w:eastAsia="Times New Roman" w:hAnsiTheme="minorHAnsi"/>
                <w:color w:val="FFFFFF" w:themeColor="background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2C4A680B" w14:textId="77777777" w:rsidR="006164A6" w:rsidRPr="0001656D" w:rsidRDefault="006164A6" w:rsidP="004E1D7B">
            <w:pPr>
              <w:spacing w:after="0" w:line="192" w:lineRule="auto"/>
              <w:rPr>
                <w:rFonts w:asciiTheme="minorHAnsi" w:eastAsia="Times New Roman" w:hAnsiTheme="minorHAnsi"/>
                <w:color w:val="FFFFFF" w:themeColor="background1"/>
              </w:rPr>
            </w:pPr>
          </w:p>
        </w:tc>
      </w:tr>
      <w:tr w:rsidR="006164A6" w:rsidRPr="00E50D79" w14:paraId="2E52D67C" w14:textId="77777777" w:rsidTr="00016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3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9C839" w14:textId="6957706A" w:rsidR="006164A6" w:rsidRPr="00EF5048" w:rsidRDefault="006164A6" w:rsidP="004E1D7B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 w:rsidRPr="00EF5048">
              <w:rPr>
                <w:szCs w:val="18"/>
              </w:rPr>
              <w:t>Property has a process in place to clean and disinfect bedding and linens, carts, bags, equipment, and high-touch surfaces</w:t>
            </w:r>
            <w:r w:rsidR="0001656D">
              <w:rPr>
                <w:szCs w:val="18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0CC6" w14:textId="77777777" w:rsidR="006164A6" w:rsidRPr="00571F13" w:rsidRDefault="006164A6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C824" w14:textId="77777777" w:rsidR="006164A6" w:rsidRPr="00571F13" w:rsidRDefault="006164A6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0078" w14:textId="77777777" w:rsidR="006164A6" w:rsidRPr="00571F13" w:rsidRDefault="006164A6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01656D" w:rsidRPr="0001656D" w14:paraId="02E9EDBB" w14:textId="77777777" w:rsidTr="0001656D">
        <w:trPr>
          <w:cantSplit/>
          <w:trHeight w:val="403"/>
        </w:trPr>
        <w:tc>
          <w:tcPr>
            <w:tcW w:w="7560" w:type="dxa"/>
            <w:shd w:val="clear" w:color="auto" w:fill="365F91" w:themeFill="accent1" w:themeFillShade="BF"/>
            <w:vAlign w:val="center"/>
          </w:tcPr>
          <w:p w14:paraId="38252486" w14:textId="60991957" w:rsidR="00C5708B" w:rsidRPr="0001656D" w:rsidRDefault="006577C3" w:rsidP="00C5708B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color w:val="FFFFFF" w:themeColor="background1"/>
                <w:sz w:val="20"/>
                <w:szCs w:val="20"/>
              </w:rPr>
            </w:pPr>
            <w:r w:rsidRPr="0001656D">
              <w:rPr>
                <w:b/>
                <w:color w:val="FFFFFF" w:themeColor="background1"/>
                <w:sz w:val="20"/>
                <w:szCs w:val="20"/>
              </w:rPr>
              <w:t xml:space="preserve">CLEANERS, </w:t>
            </w:r>
            <w:r w:rsidR="0076638A" w:rsidRPr="0001656D">
              <w:rPr>
                <w:b/>
                <w:color w:val="FFFFFF" w:themeColor="background1"/>
                <w:sz w:val="20"/>
                <w:szCs w:val="20"/>
              </w:rPr>
              <w:t xml:space="preserve">HAND </w:t>
            </w:r>
            <w:r w:rsidRPr="0001656D">
              <w:rPr>
                <w:b/>
                <w:color w:val="FFFFFF" w:themeColor="background1"/>
                <w:sz w:val="20"/>
                <w:szCs w:val="20"/>
              </w:rPr>
              <w:t xml:space="preserve">HYGIENE, </w:t>
            </w:r>
            <w:r w:rsidR="00331F24" w:rsidRPr="0001656D">
              <w:rPr>
                <w:b/>
                <w:color w:val="FFFFFF" w:themeColor="background1"/>
                <w:sz w:val="20"/>
                <w:szCs w:val="20"/>
              </w:rPr>
              <w:t>AND</w:t>
            </w:r>
            <w:r w:rsidR="0067718A" w:rsidRPr="0001656D">
              <w:rPr>
                <w:b/>
                <w:color w:val="FFFFFF" w:themeColor="background1"/>
                <w:sz w:val="20"/>
                <w:szCs w:val="20"/>
              </w:rPr>
              <w:t xml:space="preserve"> PERSONAL PROTECTIVE EQUIPMENT (PPE)</w:t>
            </w:r>
          </w:p>
        </w:tc>
        <w:tc>
          <w:tcPr>
            <w:tcW w:w="1062" w:type="dxa"/>
            <w:shd w:val="clear" w:color="auto" w:fill="365F91" w:themeFill="accent1" w:themeFillShade="BF"/>
            <w:vAlign w:val="center"/>
          </w:tcPr>
          <w:p w14:paraId="03F6F5C9" w14:textId="15DF95C9" w:rsidR="00C5708B" w:rsidRPr="0001656D" w:rsidRDefault="00C5708B" w:rsidP="00C5708B">
            <w:pPr>
              <w:spacing w:after="0" w:line="192" w:lineRule="auto"/>
              <w:jc w:val="center"/>
              <w:rPr>
                <w:rFonts w:asciiTheme="minorHAnsi" w:eastAsia="Times New Roman" w:hAnsiTheme="minorHAnsi"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365F91" w:themeFill="accent1" w:themeFillShade="BF"/>
            <w:vAlign w:val="center"/>
          </w:tcPr>
          <w:p w14:paraId="343FCFFA" w14:textId="18628045" w:rsidR="00C5708B" w:rsidRPr="0001656D" w:rsidRDefault="00C5708B" w:rsidP="00C5708B">
            <w:pPr>
              <w:spacing w:after="0" w:line="192" w:lineRule="auto"/>
              <w:jc w:val="center"/>
              <w:rPr>
                <w:rFonts w:asciiTheme="minorHAnsi" w:eastAsia="Times New Roman" w:hAnsiTheme="minorHAnsi"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365F91" w:themeFill="accent1" w:themeFillShade="BF"/>
            <w:vAlign w:val="center"/>
          </w:tcPr>
          <w:p w14:paraId="0F1A66E4" w14:textId="13E02119" w:rsidR="00C5708B" w:rsidRPr="0001656D" w:rsidRDefault="00C5708B" w:rsidP="00C5708B">
            <w:pPr>
              <w:spacing w:after="0" w:line="192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07E15" w:rsidRPr="00280F25" w14:paraId="69AD9C98" w14:textId="77777777" w:rsidTr="0001656D">
        <w:trPr>
          <w:cantSplit/>
          <w:trHeight w:val="403"/>
        </w:trPr>
        <w:tc>
          <w:tcPr>
            <w:tcW w:w="7560" w:type="dxa"/>
            <w:shd w:val="clear" w:color="auto" w:fill="auto"/>
            <w:vAlign w:val="center"/>
          </w:tcPr>
          <w:p w14:paraId="4323D9DB" w14:textId="5A807902" w:rsidR="00707E15" w:rsidRPr="00707E15" w:rsidRDefault="00707E15" w:rsidP="004E1D7B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 w:rsidRPr="00707E15">
              <w:rPr>
                <w:szCs w:val="18"/>
              </w:rPr>
              <w:t>Written PPE hazard assessments and protocols are in place including facemasks and coverings where social distancing measures are difficult to maintain</w:t>
            </w:r>
            <w:r w:rsidR="0001656D">
              <w:rPr>
                <w:szCs w:val="18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14:paraId="516985F1" w14:textId="77777777" w:rsidR="00707E15" w:rsidRPr="0076638A" w:rsidRDefault="00707E1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58445128" w14:textId="77777777" w:rsidR="00707E15" w:rsidRPr="0076638A" w:rsidRDefault="00707E1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170" w:type="dxa"/>
            <w:shd w:val="clear" w:color="auto" w:fill="auto"/>
          </w:tcPr>
          <w:p w14:paraId="4FEA46DE" w14:textId="77777777" w:rsidR="00707E15" w:rsidRPr="0076638A" w:rsidRDefault="00707E1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737FB0" w:rsidRPr="00280F25" w14:paraId="1A7B2A7E" w14:textId="77777777" w:rsidTr="0001656D">
        <w:trPr>
          <w:cantSplit/>
          <w:trHeight w:val="403"/>
        </w:trPr>
        <w:tc>
          <w:tcPr>
            <w:tcW w:w="7560" w:type="dxa"/>
            <w:shd w:val="clear" w:color="auto" w:fill="auto"/>
            <w:vAlign w:val="center"/>
          </w:tcPr>
          <w:p w14:paraId="3B724E98" w14:textId="5C46DBAD" w:rsidR="00737FB0" w:rsidRDefault="00737FB0" w:rsidP="008B1559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 w:rsidRPr="00737FB0">
              <w:rPr>
                <w:szCs w:val="18"/>
              </w:rPr>
              <w:t xml:space="preserve">Cleaners and </w:t>
            </w:r>
            <w:r w:rsidR="00605B67">
              <w:rPr>
                <w:szCs w:val="18"/>
              </w:rPr>
              <w:t xml:space="preserve">approved EPA </w:t>
            </w:r>
            <w:r w:rsidRPr="00737FB0">
              <w:rPr>
                <w:szCs w:val="18"/>
              </w:rPr>
              <w:t>disinfectants for high</w:t>
            </w:r>
            <w:r w:rsidR="00707E15">
              <w:rPr>
                <w:szCs w:val="18"/>
              </w:rPr>
              <w:t>-</w:t>
            </w:r>
            <w:r w:rsidRPr="00737FB0">
              <w:rPr>
                <w:szCs w:val="18"/>
              </w:rPr>
              <w:t xml:space="preserve">touch </w:t>
            </w:r>
            <w:r w:rsidR="00AA1B45">
              <w:rPr>
                <w:szCs w:val="18"/>
              </w:rPr>
              <w:t xml:space="preserve">areas, </w:t>
            </w:r>
            <w:r w:rsidRPr="00737FB0">
              <w:rPr>
                <w:szCs w:val="18"/>
              </w:rPr>
              <w:t xml:space="preserve">appropriate for the surface or equipment, </w:t>
            </w:r>
            <w:r w:rsidR="00707E15">
              <w:rPr>
                <w:szCs w:val="18"/>
              </w:rPr>
              <w:t xml:space="preserve">are available. Check with </w:t>
            </w:r>
            <w:r w:rsidRPr="00737FB0">
              <w:rPr>
                <w:szCs w:val="18"/>
              </w:rPr>
              <w:t xml:space="preserve">supplier or </w:t>
            </w:r>
            <w:r w:rsidR="00707E15">
              <w:rPr>
                <w:szCs w:val="18"/>
              </w:rPr>
              <w:t xml:space="preserve">approved list </w:t>
            </w:r>
            <w:hyperlink r:id="rId7" w:history="1">
              <w:r w:rsidRPr="00737FB0">
                <w:rPr>
                  <w:rStyle w:val="Hyperlink"/>
                  <w:szCs w:val="18"/>
                </w:rPr>
                <w:t>CDC List N</w:t>
              </w:r>
            </w:hyperlink>
            <w:r w:rsidRPr="00737FB0">
              <w:rPr>
                <w:szCs w:val="18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14:paraId="2B3DE6A6" w14:textId="55DEA7F7" w:rsidR="00737FB0" w:rsidRPr="0076638A" w:rsidRDefault="00737FB0" w:rsidP="000A25E7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00C64873" w14:textId="77777777" w:rsidR="00737FB0" w:rsidRPr="0076638A" w:rsidRDefault="00737FB0" w:rsidP="000A25E7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170" w:type="dxa"/>
            <w:shd w:val="clear" w:color="auto" w:fill="auto"/>
          </w:tcPr>
          <w:p w14:paraId="51D60498" w14:textId="77777777" w:rsidR="00737FB0" w:rsidRPr="0076638A" w:rsidRDefault="00737FB0" w:rsidP="000A25E7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E96F14" w:rsidRPr="00280F25" w14:paraId="22AC43C2" w14:textId="77777777" w:rsidTr="0001656D">
        <w:trPr>
          <w:cantSplit/>
          <w:trHeight w:val="403"/>
        </w:trPr>
        <w:tc>
          <w:tcPr>
            <w:tcW w:w="7560" w:type="dxa"/>
            <w:shd w:val="clear" w:color="auto" w:fill="auto"/>
            <w:vAlign w:val="center"/>
          </w:tcPr>
          <w:p w14:paraId="0F765DE5" w14:textId="0DAF399D" w:rsidR="00E96F14" w:rsidRDefault="00BC0CE4" w:rsidP="008B1559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 xml:space="preserve">Property has </w:t>
            </w:r>
            <w:r w:rsidR="009F7005">
              <w:rPr>
                <w:szCs w:val="18"/>
              </w:rPr>
              <w:t xml:space="preserve">adequate supplies of </w:t>
            </w:r>
            <w:r w:rsidR="0067718A">
              <w:rPr>
                <w:szCs w:val="18"/>
              </w:rPr>
              <w:t xml:space="preserve">PPE </w:t>
            </w:r>
            <w:r w:rsidR="009F7005">
              <w:rPr>
                <w:szCs w:val="18"/>
              </w:rPr>
              <w:t xml:space="preserve">such as </w:t>
            </w:r>
            <w:r>
              <w:rPr>
                <w:szCs w:val="18"/>
              </w:rPr>
              <w:t>f</w:t>
            </w:r>
            <w:r w:rsidR="00E96F14">
              <w:rPr>
                <w:szCs w:val="18"/>
              </w:rPr>
              <w:t>acemasks</w:t>
            </w:r>
            <w:r w:rsidR="00E50D79">
              <w:rPr>
                <w:szCs w:val="18"/>
              </w:rPr>
              <w:t xml:space="preserve"> or face coverings</w:t>
            </w:r>
            <w:r w:rsidR="00E96F14">
              <w:rPr>
                <w:szCs w:val="18"/>
              </w:rPr>
              <w:t>, gloves, and eye protection per cleaner and disinfectant SDSs</w:t>
            </w:r>
            <w:r w:rsidR="0001656D">
              <w:rPr>
                <w:szCs w:val="18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14:paraId="4AFCE3C5" w14:textId="77777777" w:rsidR="00E96F14" w:rsidRPr="0076638A" w:rsidRDefault="00E96F14" w:rsidP="000A25E7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62BAE4A4" w14:textId="77777777" w:rsidR="00E96F14" w:rsidRPr="0076638A" w:rsidRDefault="00E96F14" w:rsidP="000A25E7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170" w:type="dxa"/>
            <w:shd w:val="clear" w:color="auto" w:fill="auto"/>
          </w:tcPr>
          <w:p w14:paraId="36E24CE2" w14:textId="77777777" w:rsidR="00E96F14" w:rsidRPr="0076638A" w:rsidRDefault="00E96F14" w:rsidP="000A25E7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707E15" w:rsidRPr="00280F25" w14:paraId="5524D0CB" w14:textId="77777777" w:rsidTr="0001656D">
        <w:trPr>
          <w:cantSplit/>
          <w:trHeight w:val="1728"/>
        </w:trPr>
        <w:tc>
          <w:tcPr>
            <w:tcW w:w="7560" w:type="dxa"/>
            <w:shd w:val="clear" w:color="auto" w:fill="auto"/>
            <w:vAlign w:val="center"/>
          </w:tcPr>
          <w:p w14:paraId="71AFC870" w14:textId="77777777" w:rsidR="00707E15" w:rsidRDefault="00707E15" w:rsidP="004E1D7B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Alcohol based hand sanitizer for hand hygiene is available in high guest contact areas:</w:t>
            </w:r>
          </w:p>
          <w:p w14:paraId="7FA96460" w14:textId="77777777" w:rsidR="00707E15" w:rsidRDefault="00707E15" w:rsidP="004E1D7B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Guest entrances</w:t>
            </w:r>
          </w:p>
          <w:p w14:paraId="207CA21A" w14:textId="77777777" w:rsidR="00707E15" w:rsidRDefault="00707E15" w:rsidP="004E1D7B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Front desk</w:t>
            </w:r>
          </w:p>
          <w:p w14:paraId="68637039" w14:textId="77777777" w:rsidR="00707E15" w:rsidRDefault="00707E15" w:rsidP="004E1D7B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Restaurant host area</w:t>
            </w:r>
          </w:p>
          <w:p w14:paraId="49D51E10" w14:textId="77777777" w:rsidR="00707E15" w:rsidRDefault="00707E15" w:rsidP="004E1D7B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Food &amp; beverage stations</w:t>
            </w:r>
          </w:p>
          <w:p w14:paraId="0FEF201C" w14:textId="77777777" w:rsidR="00707E15" w:rsidRDefault="00707E15" w:rsidP="004E1D7B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Elevators</w:t>
            </w:r>
          </w:p>
          <w:p w14:paraId="63AF92E8" w14:textId="77777777" w:rsidR="00707E15" w:rsidRDefault="00707E15" w:rsidP="004E1D7B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Fitness room</w:t>
            </w:r>
          </w:p>
          <w:p w14:paraId="61A3CC16" w14:textId="77777777" w:rsidR="00707E15" w:rsidRDefault="00707E15" w:rsidP="004E1D7B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 w:rsidRPr="00E77B02">
              <w:rPr>
                <w:szCs w:val="18"/>
              </w:rPr>
              <w:t>Pool area</w:t>
            </w:r>
          </w:p>
          <w:p w14:paraId="63D940DB" w14:textId="77777777" w:rsidR="00707E15" w:rsidRPr="003B711B" w:rsidRDefault="00707E15" w:rsidP="004E1D7B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&lt;Other&gt;</w:t>
            </w:r>
          </w:p>
        </w:tc>
        <w:tc>
          <w:tcPr>
            <w:tcW w:w="1062" w:type="dxa"/>
            <w:shd w:val="clear" w:color="auto" w:fill="auto"/>
          </w:tcPr>
          <w:p w14:paraId="2099FBBC" w14:textId="77777777" w:rsidR="00707E15" w:rsidRPr="0076638A" w:rsidRDefault="00707E1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4E5B1D88" w14:textId="77777777" w:rsidR="00707E15" w:rsidRPr="0076638A" w:rsidRDefault="00707E1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170" w:type="dxa"/>
            <w:shd w:val="clear" w:color="auto" w:fill="auto"/>
          </w:tcPr>
          <w:p w14:paraId="1888DA21" w14:textId="77777777" w:rsidR="00707E15" w:rsidRPr="0076638A" w:rsidRDefault="00707E1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707E15" w:rsidRPr="00280F25" w14:paraId="74BAC9C0" w14:textId="77777777" w:rsidTr="0001656D">
        <w:trPr>
          <w:cantSplit/>
          <w:trHeight w:val="864"/>
        </w:trPr>
        <w:tc>
          <w:tcPr>
            <w:tcW w:w="7560" w:type="dxa"/>
            <w:shd w:val="clear" w:color="auto" w:fill="auto"/>
            <w:vAlign w:val="center"/>
          </w:tcPr>
          <w:p w14:paraId="25DD68A3" w14:textId="77777777" w:rsidR="00707E15" w:rsidRDefault="00707E15" w:rsidP="004E1D7B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Tissues are available in high guest contact areas:</w:t>
            </w:r>
          </w:p>
          <w:p w14:paraId="3A0403F7" w14:textId="77777777" w:rsidR="00707E15" w:rsidRDefault="00707E15" w:rsidP="004E1D7B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Guest entrances</w:t>
            </w:r>
          </w:p>
          <w:p w14:paraId="4718F0E6" w14:textId="77777777" w:rsidR="00707E15" w:rsidRDefault="00707E15" w:rsidP="004E1D7B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Front desk</w:t>
            </w:r>
          </w:p>
          <w:p w14:paraId="22DE7D0D" w14:textId="77777777" w:rsidR="00707E15" w:rsidRPr="006577C3" w:rsidRDefault="00707E15" w:rsidP="004E1D7B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&lt;Other&gt;</w:t>
            </w:r>
          </w:p>
        </w:tc>
        <w:tc>
          <w:tcPr>
            <w:tcW w:w="1062" w:type="dxa"/>
            <w:shd w:val="clear" w:color="auto" w:fill="auto"/>
          </w:tcPr>
          <w:p w14:paraId="4C7018DD" w14:textId="77777777" w:rsidR="00707E15" w:rsidRPr="0076638A" w:rsidRDefault="00707E1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0376B885" w14:textId="77777777" w:rsidR="00707E15" w:rsidRPr="0076638A" w:rsidRDefault="00707E1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170" w:type="dxa"/>
            <w:shd w:val="clear" w:color="auto" w:fill="auto"/>
          </w:tcPr>
          <w:p w14:paraId="7C917ECF" w14:textId="77777777" w:rsidR="00707E15" w:rsidRPr="0076638A" w:rsidRDefault="00707E15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BC0CE4" w:rsidRPr="00280F25" w14:paraId="73BF0217" w14:textId="77777777" w:rsidTr="0001656D">
        <w:trPr>
          <w:cantSplit/>
          <w:trHeight w:val="403"/>
        </w:trPr>
        <w:tc>
          <w:tcPr>
            <w:tcW w:w="7560" w:type="dxa"/>
            <w:shd w:val="clear" w:color="auto" w:fill="auto"/>
            <w:vAlign w:val="center"/>
          </w:tcPr>
          <w:p w14:paraId="2440EB23" w14:textId="1642077E" w:rsidR="00BC0CE4" w:rsidRDefault="00BC0CE4" w:rsidP="008B1559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Property has a process to monitor supply levels</w:t>
            </w:r>
            <w:r w:rsidR="0001656D">
              <w:rPr>
                <w:szCs w:val="18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14:paraId="69895A41" w14:textId="77777777" w:rsidR="00BC0CE4" w:rsidRPr="0076638A" w:rsidRDefault="00BC0CE4" w:rsidP="000A25E7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555866D3" w14:textId="77777777" w:rsidR="00BC0CE4" w:rsidRPr="0076638A" w:rsidRDefault="00BC0CE4" w:rsidP="000A25E7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170" w:type="dxa"/>
            <w:shd w:val="clear" w:color="auto" w:fill="auto"/>
          </w:tcPr>
          <w:p w14:paraId="3B6D861E" w14:textId="77777777" w:rsidR="00BC0CE4" w:rsidRPr="0076638A" w:rsidRDefault="00BC0CE4" w:rsidP="000A25E7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</w:tbl>
    <w:p w14:paraId="41121F6C" w14:textId="6CB78B62" w:rsidR="0075772A" w:rsidRDefault="0075772A"/>
    <w:p w14:paraId="586B2630" w14:textId="21A4D562" w:rsidR="006164A6" w:rsidRDefault="006164A6">
      <w:r>
        <w:br w:type="page"/>
      </w:r>
    </w:p>
    <w:tbl>
      <w:tblPr>
        <w:tblW w:w="1071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7740"/>
        <w:gridCol w:w="990"/>
        <w:gridCol w:w="990"/>
        <w:gridCol w:w="990"/>
      </w:tblGrid>
      <w:tr w:rsidR="0001656D" w:rsidRPr="0001656D" w14:paraId="07754D43" w14:textId="77777777" w:rsidTr="0001656D">
        <w:trPr>
          <w:cantSplit/>
          <w:trHeight w:val="403"/>
        </w:trPr>
        <w:tc>
          <w:tcPr>
            <w:tcW w:w="7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</w:tcPr>
          <w:p w14:paraId="0824D399" w14:textId="57FA47D6" w:rsidR="008609BC" w:rsidRPr="0001656D" w:rsidRDefault="008609BC" w:rsidP="008609BC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b/>
                <w:color w:val="FFFFFF" w:themeColor="background1"/>
                <w:szCs w:val="18"/>
                <w:highlight w:val="yellow"/>
              </w:rPr>
            </w:pPr>
            <w:r w:rsidRPr="0001656D">
              <w:rPr>
                <w:b/>
                <w:color w:val="FFFFFF" w:themeColor="background1"/>
                <w:sz w:val="20"/>
                <w:szCs w:val="18"/>
              </w:rPr>
              <w:lastRenderedPageBreak/>
              <w:t>HUMAN RESOURCES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07D636D4" w14:textId="13106E77" w:rsidR="008609BC" w:rsidRPr="0001656D" w:rsidRDefault="008609BC" w:rsidP="008609BC">
            <w:pPr>
              <w:spacing w:after="0" w:line="192" w:lineRule="auto"/>
              <w:jc w:val="center"/>
              <w:rPr>
                <w:rFonts w:asciiTheme="minorHAnsi" w:eastAsia="Times New Roman" w:hAnsiTheme="minorHAnsi"/>
                <w:color w:val="FFFFFF" w:themeColor="background1"/>
                <w:sz w:val="16"/>
                <w:szCs w:val="16"/>
              </w:rPr>
            </w:pPr>
            <w:r w:rsidRPr="0001656D">
              <w:rPr>
                <w:rFonts w:asciiTheme="minorHAnsi" w:eastAsia="Times New Roman" w:hAnsiTheme="minorHAnsi" w:cstheme="minorHAnsi"/>
                <w:b/>
                <w:color w:val="FFFFFF" w:themeColor="background1"/>
                <w:sz w:val="16"/>
                <w:szCs w:val="16"/>
              </w:rPr>
              <w:t>Completed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400216DE" w14:textId="786A73D7" w:rsidR="008609BC" w:rsidRPr="0001656D" w:rsidRDefault="008609BC" w:rsidP="008609BC">
            <w:pPr>
              <w:spacing w:after="0" w:line="192" w:lineRule="auto"/>
              <w:jc w:val="center"/>
              <w:rPr>
                <w:rFonts w:asciiTheme="minorHAnsi" w:eastAsia="Times New Roman" w:hAnsiTheme="minorHAnsi"/>
                <w:color w:val="FFFFFF" w:themeColor="background1"/>
                <w:sz w:val="16"/>
                <w:szCs w:val="16"/>
              </w:rPr>
            </w:pPr>
            <w:r w:rsidRPr="0001656D">
              <w:rPr>
                <w:rFonts w:asciiTheme="minorHAnsi" w:eastAsia="Times New Roman" w:hAnsiTheme="minorHAnsi" w:cstheme="minorHAnsi"/>
                <w:b/>
                <w:color w:val="FFFFFF" w:themeColor="background1"/>
                <w:sz w:val="16"/>
                <w:szCs w:val="16"/>
              </w:rPr>
              <w:t>In Progress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2B3410CD" w14:textId="26EAEA2E" w:rsidR="008609BC" w:rsidRPr="0001656D" w:rsidRDefault="008609BC" w:rsidP="008609BC">
            <w:pPr>
              <w:spacing w:after="0" w:line="192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01656D">
              <w:rPr>
                <w:rFonts w:asciiTheme="minorHAnsi" w:eastAsia="Times New Roman" w:hAnsiTheme="minorHAnsi" w:cstheme="minorHAnsi"/>
                <w:b/>
                <w:color w:val="FFFFFF" w:themeColor="background1"/>
                <w:sz w:val="16"/>
                <w:szCs w:val="16"/>
              </w:rPr>
              <w:t>Not Started</w:t>
            </w:r>
          </w:p>
        </w:tc>
      </w:tr>
      <w:tr w:rsidR="006164A6" w:rsidRPr="00E50D79" w14:paraId="34EC1073" w14:textId="77777777" w:rsidTr="000165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3"/>
        </w:trPr>
        <w:tc>
          <w:tcPr>
            <w:tcW w:w="7740" w:type="dxa"/>
            <w:shd w:val="clear" w:color="auto" w:fill="auto"/>
            <w:vAlign w:val="center"/>
          </w:tcPr>
          <w:p w14:paraId="11219240" w14:textId="3B782CF9" w:rsidR="006164A6" w:rsidRPr="006827DD" w:rsidRDefault="006164A6" w:rsidP="004E1D7B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 xml:space="preserve">Recordkeeping of </w:t>
            </w:r>
            <w:r w:rsidRPr="00707E15">
              <w:rPr>
                <w:szCs w:val="18"/>
              </w:rPr>
              <w:t>staff work assignments for at least 90 days to support contact tracing</w:t>
            </w:r>
          </w:p>
        </w:tc>
        <w:tc>
          <w:tcPr>
            <w:tcW w:w="990" w:type="dxa"/>
            <w:shd w:val="clear" w:color="auto" w:fill="auto"/>
          </w:tcPr>
          <w:p w14:paraId="4FF4656F" w14:textId="77777777" w:rsidR="006164A6" w:rsidRPr="006E15B7" w:rsidRDefault="006164A6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6DE43866" w14:textId="77777777" w:rsidR="006164A6" w:rsidRPr="006E15B7" w:rsidRDefault="006164A6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6754A287" w14:textId="77777777" w:rsidR="006164A6" w:rsidRPr="006E15B7" w:rsidRDefault="006164A6" w:rsidP="004E1D7B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0E0B63" w:rsidRPr="00E50D79" w14:paraId="232A22CB" w14:textId="77777777" w:rsidTr="0001656D">
        <w:trPr>
          <w:cantSplit/>
          <w:trHeight w:val="403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ACA0D" w14:textId="77777777" w:rsidR="000E0B63" w:rsidRPr="006827DD" w:rsidRDefault="000E0B63" w:rsidP="00192EC5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Property has sick leave policies that are flexible and consistent with public health policies that allow ill staff to stay home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2DF7" w14:textId="77777777" w:rsidR="000E0B63" w:rsidRPr="006E15B7" w:rsidRDefault="000E0B63" w:rsidP="00192EC5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1D05" w14:textId="77777777" w:rsidR="000E0B63" w:rsidRPr="006E15B7" w:rsidRDefault="000E0B63" w:rsidP="00192EC5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1CD0" w14:textId="77777777" w:rsidR="000E0B63" w:rsidRPr="006E15B7" w:rsidRDefault="000E0B63" w:rsidP="00192EC5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4D566C" w:rsidRPr="00E50D79" w14:paraId="7135F735" w14:textId="77777777" w:rsidTr="0001656D">
        <w:trPr>
          <w:cantSplit/>
          <w:trHeight w:val="576"/>
        </w:trPr>
        <w:tc>
          <w:tcPr>
            <w:tcW w:w="7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7E6C" w14:textId="23D0B3A5" w:rsidR="004D566C" w:rsidRDefault="004D566C" w:rsidP="009B704E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 xml:space="preserve">Property has a process for staff who </w:t>
            </w:r>
            <w:r w:rsidR="00035469">
              <w:rPr>
                <w:szCs w:val="18"/>
              </w:rPr>
              <w:t>have</w:t>
            </w:r>
            <w:r>
              <w:rPr>
                <w:szCs w:val="18"/>
              </w:rPr>
              <w:t xml:space="preserve"> either a fever or symptoms including, being sent home, referral to occupational health or PCP, and reporting their status to their manager or HR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BA79" w14:textId="77777777" w:rsidR="004D566C" w:rsidRPr="0076638A" w:rsidRDefault="004D566C" w:rsidP="009B704E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6124" w14:textId="77777777" w:rsidR="004D566C" w:rsidRPr="0076638A" w:rsidRDefault="004D566C" w:rsidP="009B704E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69DC" w14:textId="77777777" w:rsidR="004D566C" w:rsidRPr="0076638A" w:rsidRDefault="004D566C" w:rsidP="009B704E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</w:tr>
      <w:tr w:rsidR="004D566C" w:rsidRPr="00E50D79" w14:paraId="736E476C" w14:textId="77777777" w:rsidTr="0001656D">
        <w:trPr>
          <w:cantSplit/>
          <w:trHeight w:val="1440"/>
        </w:trPr>
        <w:tc>
          <w:tcPr>
            <w:tcW w:w="7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D9AC" w14:textId="77777777" w:rsidR="004D566C" w:rsidRDefault="004D566C" w:rsidP="009B704E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Property has a process to screen staff who require frequent and/or close contact with guests. Screening for fever or temperature (</w:t>
            </w:r>
            <w:r w:rsidRPr="00917C63">
              <w:rPr>
                <w:szCs w:val="18"/>
                <w:u w:val="single"/>
              </w:rPr>
              <w:t>&gt;</w:t>
            </w:r>
            <w:r>
              <w:rPr>
                <w:szCs w:val="18"/>
              </w:rPr>
              <w:t>100</w:t>
            </w:r>
            <w:r w:rsidRPr="00917C63">
              <w:rPr>
                <w:szCs w:val="18"/>
                <w:vertAlign w:val="superscript"/>
              </w:rPr>
              <w:t>o</w:t>
            </w:r>
            <w:r>
              <w:rPr>
                <w:szCs w:val="18"/>
              </w:rPr>
              <w:t>F), and symptoms.</w:t>
            </w:r>
          </w:p>
          <w:p w14:paraId="29578E34" w14:textId="77777777" w:rsidR="004D566C" w:rsidRDefault="004D566C" w:rsidP="009B704E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Front desk</w:t>
            </w:r>
          </w:p>
          <w:p w14:paraId="1EF717F7" w14:textId="77777777" w:rsidR="004D566C" w:rsidRDefault="004D566C" w:rsidP="009B704E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Housekeeping</w:t>
            </w:r>
          </w:p>
          <w:p w14:paraId="085F259E" w14:textId="77777777" w:rsidR="004D566C" w:rsidRDefault="004D566C" w:rsidP="009B704E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Food Services</w:t>
            </w:r>
          </w:p>
          <w:p w14:paraId="4532CB6E" w14:textId="77777777" w:rsidR="004D566C" w:rsidRDefault="004D566C" w:rsidP="009B704E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Banquets</w:t>
            </w:r>
          </w:p>
          <w:p w14:paraId="48B31B2B" w14:textId="77777777" w:rsidR="004D566C" w:rsidRPr="006A35D5" w:rsidRDefault="004D566C" w:rsidP="009B704E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 w:rsidRPr="006A35D5">
              <w:rPr>
                <w:szCs w:val="18"/>
              </w:rPr>
              <w:t>&lt;Other&gt;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2328" w14:textId="77777777" w:rsidR="004D566C" w:rsidRPr="0076638A" w:rsidRDefault="004D566C" w:rsidP="009B704E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638A" w14:textId="77777777" w:rsidR="004D566C" w:rsidRPr="0076638A" w:rsidRDefault="004D566C" w:rsidP="009B704E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6CD8" w14:textId="77777777" w:rsidR="004D566C" w:rsidRPr="0076638A" w:rsidRDefault="004D566C" w:rsidP="009B704E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</w:tr>
      <w:tr w:rsidR="008609BC" w:rsidRPr="00E50D79" w14:paraId="0C7B0512" w14:textId="77777777" w:rsidTr="0001656D">
        <w:trPr>
          <w:cantSplit/>
          <w:trHeight w:val="403"/>
        </w:trPr>
        <w:tc>
          <w:tcPr>
            <w:tcW w:w="7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6234" w14:textId="5F672FFD" w:rsidR="008609BC" w:rsidRPr="00E40C9B" w:rsidRDefault="008609BC" w:rsidP="008609BC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 w:rsidRPr="00E40C9B">
              <w:rPr>
                <w:szCs w:val="18"/>
              </w:rPr>
              <w:t>Property has a process</w:t>
            </w:r>
            <w:r w:rsidR="00E40C9B" w:rsidRPr="00E40C9B">
              <w:rPr>
                <w:szCs w:val="18"/>
              </w:rPr>
              <w:t xml:space="preserve"> to communicate to guests about the staff screening process</w:t>
            </w:r>
            <w:r w:rsidR="0001656D">
              <w:rPr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240F" w14:textId="3D28166C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0BA6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9B9F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</w:tr>
      <w:tr w:rsidR="0001656D" w:rsidRPr="0001656D" w14:paraId="7197331D" w14:textId="77777777" w:rsidTr="0001656D">
        <w:trPr>
          <w:cantSplit/>
          <w:trHeight w:val="403"/>
        </w:trPr>
        <w:tc>
          <w:tcPr>
            <w:tcW w:w="7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</w:tcPr>
          <w:p w14:paraId="3AD0282C" w14:textId="0EAFD5FB" w:rsidR="008609BC" w:rsidRPr="0001656D" w:rsidRDefault="008609BC" w:rsidP="008609BC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color w:val="FFFFFF" w:themeColor="background1"/>
                <w:szCs w:val="18"/>
                <w:highlight w:val="yellow"/>
              </w:rPr>
            </w:pPr>
            <w:r w:rsidRPr="0001656D">
              <w:rPr>
                <w:b/>
                <w:color w:val="FFFFFF" w:themeColor="background1"/>
                <w:sz w:val="20"/>
                <w:szCs w:val="20"/>
              </w:rPr>
              <w:t>SOCIAL DISTANCING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5EA1FF24" w14:textId="1504179C" w:rsidR="008609BC" w:rsidRPr="0001656D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07C5FC25" w14:textId="4F1C8AC2" w:rsidR="008609BC" w:rsidRPr="0001656D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5166D8C7" w14:textId="6C4C8879" w:rsidR="008609BC" w:rsidRPr="0001656D" w:rsidRDefault="008609BC" w:rsidP="006E5B7F">
            <w:pPr>
              <w:spacing w:after="0" w:line="192" w:lineRule="auto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609BC" w:rsidRPr="00280F25" w14:paraId="352C4235" w14:textId="77777777" w:rsidTr="0001656D">
        <w:trPr>
          <w:cantSplit/>
          <w:trHeight w:val="2160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D3DAA" w14:textId="1ED0EDE2" w:rsidR="008609BC" w:rsidRDefault="008609BC" w:rsidP="008609BC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Property has social distancing procedures and plans, including but not limited to physical distance (6 feet) between staff and guests; staggering work schedules; staggering guest room floors and/or rooms based on availably; limiting the number of people at meetings, events, and other gatherings:</w:t>
            </w:r>
          </w:p>
          <w:p w14:paraId="1605E890" w14:textId="0028FC26" w:rsidR="008609BC" w:rsidRDefault="008609BC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Front desk</w:t>
            </w:r>
          </w:p>
          <w:p w14:paraId="79A251DC" w14:textId="389062D0" w:rsidR="008609BC" w:rsidRDefault="008609BC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Housekeeping</w:t>
            </w:r>
          </w:p>
          <w:p w14:paraId="162B8927" w14:textId="3782A591" w:rsidR="008609BC" w:rsidRDefault="008609BC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Laundry</w:t>
            </w:r>
          </w:p>
          <w:p w14:paraId="3F5DF09B" w14:textId="2FDB6578" w:rsidR="008609BC" w:rsidRDefault="008609BC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Food Services</w:t>
            </w:r>
            <w:r w:rsidR="00A06612">
              <w:rPr>
                <w:szCs w:val="18"/>
              </w:rPr>
              <w:t xml:space="preserve"> / Room Service</w:t>
            </w:r>
          </w:p>
          <w:p w14:paraId="17AF512B" w14:textId="5674F74E" w:rsidR="008609BC" w:rsidRDefault="008609BC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Meetings</w:t>
            </w:r>
          </w:p>
          <w:p w14:paraId="60405296" w14:textId="0C5663AE" w:rsidR="008609BC" w:rsidRDefault="008609BC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Banquets</w:t>
            </w:r>
          </w:p>
          <w:p w14:paraId="4C6A462D" w14:textId="645DEE75" w:rsidR="008609BC" w:rsidRPr="00EE4CAE" w:rsidRDefault="008609BC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&lt;Other&gt;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FD33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40A2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35AF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01656D" w:rsidRPr="0001656D" w14:paraId="0E469F43" w14:textId="09808B67" w:rsidTr="0001656D">
        <w:trPr>
          <w:cantSplit/>
          <w:trHeight w:val="403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</w:tcPr>
          <w:p w14:paraId="523867C0" w14:textId="13451EC6" w:rsidR="008609BC" w:rsidRPr="0001656D" w:rsidRDefault="008609BC" w:rsidP="008609BC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color w:val="FFFFFF" w:themeColor="background1"/>
                <w:szCs w:val="18"/>
                <w:highlight w:val="yellow"/>
              </w:rPr>
            </w:pPr>
            <w:r w:rsidRPr="0001656D">
              <w:rPr>
                <w:b/>
                <w:color w:val="FFFFFF" w:themeColor="background1"/>
                <w:sz w:val="20"/>
                <w:szCs w:val="20"/>
              </w:rPr>
              <w:t>INTERNAL AND GUEST COMMUNICATIONS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58F112E8" w14:textId="63DB05BB" w:rsidR="008609BC" w:rsidRPr="0001656D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336F262C" w14:textId="1A204A9C" w:rsidR="008609BC" w:rsidRPr="0001656D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2370AD23" w14:textId="75FD8690" w:rsidR="008609BC" w:rsidRPr="0001656D" w:rsidRDefault="008609BC" w:rsidP="006E5B7F">
            <w:pPr>
              <w:spacing w:after="0" w:line="192" w:lineRule="auto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609BC" w:rsidRPr="00280F25" w14:paraId="0A5DB1A9" w14:textId="77777777" w:rsidTr="0001656D">
        <w:trPr>
          <w:cantSplit/>
          <w:trHeight w:val="403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95EAC" w14:textId="58CAB44B" w:rsidR="008609BC" w:rsidRPr="00632E42" w:rsidRDefault="00035469" w:rsidP="008609BC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 xml:space="preserve">Property has </w:t>
            </w:r>
            <w:r w:rsidR="008609BC" w:rsidRPr="00632E42">
              <w:rPr>
                <w:szCs w:val="18"/>
              </w:rPr>
              <w:t xml:space="preserve">procedures to notify staff of known or suspected cases among staff and guests. </w:t>
            </w:r>
            <w:r w:rsidR="00D32004" w:rsidRPr="00632E42">
              <w:rPr>
                <w:szCs w:val="18"/>
              </w:rPr>
              <w:t>Consult local health authorities and general counsel.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A821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C3F0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D91C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8609BC" w:rsidRPr="00280F25" w14:paraId="5D2F77C7" w14:textId="77777777" w:rsidTr="0001656D">
        <w:trPr>
          <w:cantSplit/>
          <w:trHeight w:val="1008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F1981" w14:textId="61604B99" w:rsidR="008609BC" w:rsidRDefault="008609BC" w:rsidP="008609BC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Signs posted in high guest contact areas to communicate hand hygiene, respiratory etiquette, screen questions regarding travel and COVID-19 symptoms:</w:t>
            </w:r>
          </w:p>
          <w:p w14:paraId="04E22EA7" w14:textId="77777777" w:rsidR="008609BC" w:rsidRDefault="008609BC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Guest entrances</w:t>
            </w:r>
          </w:p>
          <w:p w14:paraId="74246666" w14:textId="77777777" w:rsidR="008609BC" w:rsidRDefault="008609BC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Front desk</w:t>
            </w:r>
          </w:p>
          <w:p w14:paraId="52152523" w14:textId="0D734F76" w:rsidR="008609BC" w:rsidRPr="00EE4CAE" w:rsidRDefault="008609BC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&lt;Other&gt;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99F7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61EF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F96B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8609BC" w:rsidRPr="00280F25" w14:paraId="788B7F92" w14:textId="34AECC77" w:rsidTr="0001656D">
        <w:trPr>
          <w:cantSplit/>
          <w:trHeight w:val="403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78F3" w14:textId="49E488F6" w:rsidR="008609BC" w:rsidRPr="00A874A0" w:rsidRDefault="008609BC" w:rsidP="008609BC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Front desk personnel are able to communicate steps being taken to mitigate spread</w:t>
            </w:r>
            <w:r w:rsidR="0001656D">
              <w:rPr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D12D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8F73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C646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8609BC" w:rsidRPr="00280F25" w14:paraId="0E5250FA" w14:textId="20514B7D" w:rsidTr="0001656D">
        <w:trPr>
          <w:cantSplit/>
          <w:trHeight w:val="403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036B" w14:textId="3B65C287" w:rsidR="008609BC" w:rsidRPr="00A874A0" w:rsidRDefault="008609BC" w:rsidP="008609BC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Informational material on COVID-19, relevant preventive measures, and local emergency services is made available</w:t>
            </w:r>
            <w:r w:rsidR="0001656D">
              <w:rPr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F19F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1AC1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CF01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</w:rPr>
            </w:pPr>
          </w:p>
        </w:tc>
      </w:tr>
      <w:tr w:rsidR="0001656D" w:rsidRPr="0001656D" w14:paraId="1B8B85BE" w14:textId="77777777" w:rsidTr="0001656D">
        <w:trPr>
          <w:cantSplit/>
          <w:trHeight w:val="403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</w:tcPr>
          <w:p w14:paraId="453C0E58" w14:textId="6F1D1078" w:rsidR="008609BC" w:rsidRPr="0001656D" w:rsidRDefault="008609BC" w:rsidP="008609BC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color w:val="FFFFFF" w:themeColor="background1"/>
                <w:szCs w:val="18"/>
                <w:highlight w:val="yellow"/>
              </w:rPr>
            </w:pPr>
            <w:r w:rsidRPr="0001656D">
              <w:rPr>
                <w:b/>
                <w:color w:val="FFFFFF" w:themeColor="background1"/>
                <w:sz w:val="20"/>
                <w:szCs w:val="20"/>
              </w:rPr>
              <w:t>EDUCATION AND TRAINING FOR STAFF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2BFF1B04" w14:textId="3114E485" w:rsidR="008609BC" w:rsidRPr="0001656D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74BC2225" w14:textId="6209E7F7" w:rsidR="008609BC" w:rsidRPr="0001656D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7076E065" w14:textId="6477C693" w:rsidR="008609BC" w:rsidRPr="0001656D" w:rsidRDefault="008609BC" w:rsidP="006E5B7F">
            <w:pPr>
              <w:spacing w:after="0" w:line="192" w:lineRule="auto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609BC" w:rsidRPr="00E50D79" w14:paraId="294A35B6" w14:textId="1ED272BC" w:rsidTr="0001656D">
        <w:trPr>
          <w:cantSplit/>
          <w:trHeight w:val="403"/>
        </w:trPr>
        <w:tc>
          <w:tcPr>
            <w:tcW w:w="7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6D3F" w14:textId="5F70B68B" w:rsidR="008609BC" w:rsidRPr="00E50D79" w:rsidRDefault="00035469" w:rsidP="008609BC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Staff</w:t>
            </w:r>
            <w:r w:rsidR="008609BC">
              <w:rPr>
                <w:szCs w:val="18"/>
              </w:rPr>
              <w:t xml:space="preserve"> train</w:t>
            </w:r>
            <w:r>
              <w:rPr>
                <w:szCs w:val="18"/>
              </w:rPr>
              <w:t>ed</w:t>
            </w:r>
            <w:r w:rsidR="008609BC">
              <w:rPr>
                <w:szCs w:val="18"/>
              </w:rPr>
              <w:t xml:space="preserve"> </w:t>
            </w:r>
            <w:r>
              <w:rPr>
                <w:szCs w:val="18"/>
              </w:rPr>
              <w:t>on</w:t>
            </w:r>
            <w:r w:rsidR="008609BC">
              <w:rPr>
                <w:szCs w:val="18"/>
              </w:rPr>
              <w:t xml:space="preserve"> the </w:t>
            </w:r>
            <w:r>
              <w:rPr>
                <w:szCs w:val="18"/>
              </w:rPr>
              <w:t xml:space="preserve">COVID-19 </w:t>
            </w:r>
            <w:r w:rsidR="008609BC">
              <w:rPr>
                <w:szCs w:val="18"/>
              </w:rPr>
              <w:t xml:space="preserve">prevention and control </w:t>
            </w:r>
            <w:r>
              <w:rPr>
                <w:szCs w:val="18"/>
              </w:rPr>
              <w:t>measures.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C349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803E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52FE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</w:tr>
      <w:tr w:rsidR="008609BC" w:rsidRPr="00E50D79" w14:paraId="4AB8325B" w14:textId="77777777" w:rsidTr="0001656D">
        <w:trPr>
          <w:cantSplit/>
          <w:trHeight w:val="403"/>
        </w:trPr>
        <w:tc>
          <w:tcPr>
            <w:tcW w:w="7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FD36" w14:textId="609C4F08" w:rsidR="008609BC" w:rsidRDefault="008609BC" w:rsidP="008609BC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A person has been designated with responsibility for coordinating and documenting COVID-19 education and training</w:t>
            </w:r>
            <w:r w:rsidR="0001656D">
              <w:rPr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C6AD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AE51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409A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</w:tr>
      <w:tr w:rsidR="008609BC" w:rsidRPr="00E50D79" w14:paraId="0E83F395" w14:textId="77777777" w:rsidTr="0001656D">
        <w:trPr>
          <w:cantSplit/>
          <w:trHeight w:val="403"/>
        </w:trPr>
        <w:tc>
          <w:tcPr>
            <w:tcW w:w="7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DA51" w14:textId="07DD3169" w:rsidR="008609BC" w:rsidRDefault="008609BC" w:rsidP="008609BC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>
              <w:rPr>
                <w:szCs w:val="18"/>
              </w:rPr>
              <w:t>Education and training materials are in the language</w:t>
            </w:r>
            <w:r w:rsidR="00035469">
              <w:rPr>
                <w:szCs w:val="18"/>
              </w:rPr>
              <w:t>(s)</w:t>
            </w:r>
            <w:bookmarkStart w:id="0" w:name="_GoBack"/>
            <w:bookmarkEnd w:id="0"/>
            <w:r>
              <w:rPr>
                <w:szCs w:val="18"/>
              </w:rPr>
              <w:t xml:space="preserve"> understood by staff</w:t>
            </w:r>
            <w:r w:rsidR="0001656D">
              <w:rPr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F86A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F40A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154C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</w:tr>
      <w:tr w:rsidR="008609BC" w:rsidRPr="00E50D79" w14:paraId="77146EED" w14:textId="77777777" w:rsidTr="0001656D">
        <w:trPr>
          <w:cantSplit/>
          <w:trHeight w:val="1584"/>
        </w:trPr>
        <w:tc>
          <w:tcPr>
            <w:tcW w:w="7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DA85" w14:textId="6AEBEFB2" w:rsidR="008609BC" w:rsidRPr="00632E42" w:rsidRDefault="008609BC" w:rsidP="008609BC">
            <w:pPr>
              <w:pStyle w:val="NumberedList"/>
              <w:numPr>
                <w:ilvl w:val="0"/>
                <w:numId w:val="0"/>
              </w:numPr>
              <w:spacing w:line="192" w:lineRule="auto"/>
              <w:rPr>
                <w:szCs w:val="18"/>
              </w:rPr>
            </w:pPr>
            <w:r w:rsidRPr="00632E42">
              <w:rPr>
                <w:szCs w:val="18"/>
              </w:rPr>
              <w:t>Training materials cover infection control to prevent the spread of COVID-19:</w:t>
            </w:r>
          </w:p>
          <w:p w14:paraId="45D31F50" w14:textId="3A1A883A" w:rsidR="008609BC" w:rsidRPr="00632E42" w:rsidRDefault="008609BC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 w:rsidRPr="00632E42">
              <w:rPr>
                <w:szCs w:val="18"/>
              </w:rPr>
              <w:t>Signs and symptoms of respiratory illness</w:t>
            </w:r>
          </w:p>
          <w:p w14:paraId="3B19AC95" w14:textId="71CD9A1B" w:rsidR="008609BC" w:rsidRPr="00632E42" w:rsidRDefault="00622BF5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 w:rsidRPr="00632E42">
              <w:rPr>
                <w:szCs w:val="18"/>
              </w:rPr>
              <w:t>P</w:t>
            </w:r>
            <w:r w:rsidR="008609BC" w:rsidRPr="00632E42">
              <w:rPr>
                <w:szCs w:val="18"/>
              </w:rPr>
              <w:t>roper hand hygiene and respiratory etiquette</w:t>
            </w:r>
          </w:p>
          <w:p w14:paraId="26E8F323" w14:textId="4D1F6622" w:rsidR="008609BC" w:rsidRPr="00632E42" w:rsidRDefault="008609BC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 w:rsidRPr="00632E42">
              <w:rPr>
                <w:szCs w:val="18"/>
              </w:rPr>
              <w:t>Proper donning, doffing, use, and disposal of PPE</w:t>
            </w:r>
          </w:p>
          <w:p w14:paraId="0FBC0949" w14:textId="2AB59313" w:rsidR="008609BC" w:rsidRPr="00632E42" w:rsidRDefault="008609BC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 w:rsidRPr="00632E42">
              <w:rPr>
                <w:szCs w:val="18"/>
              </w:rPr>
              <w:t>Stay at home when sick (14 days) and other CDC recommended precautions</w:t>
            </w:r>
          </w:p>
          <w:p w14:paraId="3FCA20FC" w14:textId="51EA92A8" w:rsidR="008609BC" w:rsidRPr="00632E42" w:rsidRDefault="008609BC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 w:rsidRPr="00632E42">
              <w:rPr>
                <w:szCs w:val="18"/>
              </w:rPr>
              <w:t>Call-in or leave policies if symptoms develop</w:t>
            </w:r>
          </w:p>
          <w:p w14:paraId="55551BB0" w14:textId="77777777" w:rsidR="00265907" w:rsidRPr="00632E42" w:rsidRDefault="00265907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 w:rsidRPr="00632E42">
              <w:rPr>
                <w:szCs w:val="18"/>
              </w:rPr>
              <w:t>Medical assistance contacts</w:t>
            </w:r>
          </w:p>
          <w:p w14:paraId="7F224B3F" w14:textId="5897DF0F" w:rsidR="008609BC" w:rsidRPr="00632E42" w:rsidRDefault="008609BC" w:rsidP="008609BC">
            <w:pPr>
              <w:pStyle w:val="NumberedList"/>
              <w:numPr>
                <w:ilvl w:val="0"/>
                <w:numId w:val="6"/>
              </w:numPr>
              <w:spacing w:line="192" w:lineRule="auto"/>
              <w:rPr>
                <w:szCs w:val="18"/>
              </w:rPr>
            </w:pPr>
            <w:r w:rsidRPr="00632E42">
              <w:rPr>
                <w:szCs w:val="18"/>
              </w:rPr>
              <w:t>&lt;Other&gt;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B2B6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CFA6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03D9" w14:textId="77777777" w:rsidR="008609BC" w:rsidRPr="0076638A" w:rsidRDefault="008609BC" w:rsidP="006E5B7F">
            <w:pPr>
              <w:spacing w:after="0" w:line="192" w:lineRule="auto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7C45380E" w14:textId="77777777" w:rsidR="000A25E7" w:rsidRDefault="000A25E7" w:rsidP="00DE66A6">
      <w:pPr>
        <w:spacing w:after="0" w:line="240" w:lineRule="auto"/>
        <w:rPr>
          <w:rFonts w:asciiTheme="minorHAnsi" w:eastAsia="Times New Roman" w:hAnsiTheme="minorHAnsi" w:cs="Arial"/>
        </w:rPr>
      </w:pPr>
    </w:p>
    <w:p w14:paraId="32FD0AE3" w14:textId="77777777" w:rsidR="000A25E7" w:rsidRPr="00DE66A6" w:rsidRDefault="000A25E7" w:rsidP="00DE66A6">
      <w:pPr>
        <w:spacing w:after="0" w:line="240" w:lineRule="auto"/>
        <w:rPr>
          <w:rFonts w:asciiTheme="minorHAnsi" w:eastAsia="Times New Roman" w:hAnsiTheme="minorHAnsi" w:cs="Arial"/>
        </w:rPr>
      </w:pPr>
    </w:p>
    <w:p w14:paraId="69C9D764" w14:textId="74B32DE4" w:rsidR="0096514C" w:rsidRPr="00B87108" w:rsidRDefault="00280F25" w:rsidP="00CB4B5B">
      <w:pPr>
        <w:spacing w:after="0" w:line="240" w:lineRule="auto"/>
        <w:rPr>
          <w:rFonts w:asciiTheme="minorHAnsi" w:eastAsia="Times New Roman" w:hAnsiTheme="minorHAnsi" w:cs="Arial"/>
          <w:sz w:val="16"/>
          <w:szCs w:val="24"/>
        </w:rPr>
      </w:pPr>
      <w:r w:rsidRPr="00280F25">
        <w:rPr>
          <w:rFonts w:asciiTheme="minorHAnsi" w:eastAsia="Times New Roman" w:hAnsiTheme="minorHAnsi" w:cs="Arial"/>
          <w:sz w:val="16"/>
          <w:szCs w:val="24"/>
        </w:rPr>
        <w:tab/>
      </w:r>
      <w:r w:rsidRPr="00280F25">
        <w:rPr>
          <w:rFonts w:asciiTheme="minorHAnsi" w:eastAsia="Times New Roman" w:hAnsiTheme="minorHAnsi" w:cs="Arial"/>
          <w:sz w:val="16"/>
          <w:szCs w:val="24"/>
        </w:rPr>
        <w:tab/>
      </w:r>
      <w:r w:rsidRPr="00280F25">
        <w:rPr>
          <w:rFonts w:asciiTheme="minorHAnsi" w:eastAsia="Times New Roman" w:hAnsiTheme="minorHAnsi" w:cs="Arial"/>
          <w:sz w:val="16"/>
          <w:szCs w:val="24"/>
        </w:rPr>
        <w:tab/>
      </w:r>
      <w:r w:rsidRPr="00280F25">
        <w:rPr>
          <w:rFonts w:asciiTheme="minorHAnsi" w:eastAsia="Times New Roman" w:hAnsiTheme="minorHAnsi" w:cs="Arial"/>
          <w:sz w:val="16"/>
          <w:szCs w:val="24"/>
        </w:rPr>
        <w:tab/>
      </w:r>
      <w:r w:rsidRPr="00280F25">
        <w:rPr>
          <w:rFonts w:asciiTheme="minorHAnsi" w:eastAsia="Times New Roman" w:hAnsiTheme="minorHAnsi" w:cs="Arial"/>
          <w:sz w:val="16"/>
          <w:szCs w:val="24"/>
        </w:rPr>
        <w:tab/>
      </w:r>
      <w:r w:rsidRPr="00280F25">
        <w:rPr>
          <w:rFonts w:asciiTheme="minorHAnsi" w:eastAsia="Times New Roman" w:hAnsiTheme="minorHAnsi" w:cs="Arial"/>
          <w:sz w:val="16"/>
          <w:szCs w:val="24"/>
        </w:rPr>
        <w:tab/>
      </w:r>
      <w:r w:rsidRPr="00280F25">
        <w:rPr>
          <w:rFonts w:asciiTheme="minorHAnsi" w:eastAsia="Times New Roman" w:hAnsiTheme="minorHAnsi" w:cs="Arial"/>
          <w:sz w:val="16"/>
          <w:szCs w:val="24"/>
        </w:rPr>
        <w:tab/>
      </w:r>
      <w:r w:rsidRPr="00280F25">
        <w:rPr>
          <w:rFonts w:asciiTheme="minorHAnsi" w:eastAsia="Times New Roman" w:hAnsiTheme="minorHAnsi" w:cs="Arial"/>
          <w:sz w:val="16"/>
          <w:szCs w:val="24"/>
        </w:rPr>
        <w:tab/>
      </w:r>
      <w:r w:rsidRPr="00280F25">
        <w:rPr>
          <w:rFonts w:asciiTheme="minorHAnsi" w:eastAsia="Times New Roman" w:hAnsiTheme="minorHAnsi" w:cs="Arial"/>
          <w:sz w:val="16"/>
          <w:szCs w:val="24"/>
        </w:rPr>
        <w:tab/>
      </w:r>
    </w:p>
    <w:sectPr w:rsidR="0096514C" w:rsidRPr="00B87108" w:rsidSect="00842AF7">
      <w:headerReference w:type="default" r:id="rId8"/>
      <w:footerReference w:type="default" r:id="rId9"/>
      <w:pgSz w:w="12240" w:h="15840" w:code="1"/>
      <w:pgMar w:top="634" w:right="547" w:bottom="634" w:left="634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2372" w14:textId="77777777" w:rsidR="00CF4595" w:rsidRDefault="00CF4595" w:rsidP="00FA3F57">
      <w:pPr>
        <w:spacing w:after="0" w:line="240" w:lineRule="auto"/>
      </w:pPr>
      <w:r>
        <w:separator/>
      </w:r>
    </w:p>
  </w:endnote>
  <w:endnote w:type="continuationSeparator" w:id="0">
    <w:p w14:paraId="4CE9D6F7" w14:textId="77777777" w:rsidR="00CF4595" w:rsidRDefault="00CF4595" w:rsidP="00F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6012" w14:textId="71243C98" w:rsidR="00011186" w:rsidRPr="00A874A0" w:rsidRDefault="0001656D">
    <w:pPr>
      <w:pStyle w:val="Footer"/>
      <w:rPr>
        <w:rFonts w:ascii="Myriad Pro" w:hAnsi="Myriad Pro"/>
        <w:color w:val="7F7F7F" w:themeColor="text1" w:themeTint="80"/>
        <w:sz w:val="14"/>
        <w:szCs w:val="14"/>
      </w:rPr>
    </w:pPr>
    <w:r>
      <w:rPr>
        <w:rFonts w:ascii="Myriad Pro" w:hAnsi="Myriad Pro"/>
        <w:color w:val="7F7F7F" w:themeColor="text1" w:themeTint="80"/>
        <w:sz w:val="14"/>
        <w:szCs w:val="14"/>
      </w:rPr>
      <w:t xml:space="preserve">  </w:t>
    </w:r>
    <w:r w:rsidR="00F706A4" w:rsidRPr="00A874A0">
      <w:rPr>
        <w:rFonts w:ascii="Myriad Pro" w:hAnsi="Myriad Pro"/>
        <w:color w:val="7F7F7F" w:themeColor="text1" w:themeTint="80"/>
        <w:sz w:val="14"/>
        <w:szCs w:val="14"/>
      </w:rPr>
      <w:t xml:space="preserve">MEMIC © </w:t>
    </w:r>
    <w:r w:rsidR="00A874A0" w:rsidRPr="00A874A0">
      <w:rPr>
        <w:rFonts w:ascii="Calibri" w:hAnsi="Calibri" w:cs="Calibri"/>
        <w:color w:val="7F7F7F" w:themeColor="text1" w:themeTint="80"/>
        <w:sz w:val="14"/>
        <w:szCs w:val="14"/>
      </w:rPr>
      <w:t>●</w:t>
    </w:r>
    <w:r w:rsidR="00A874A0" w:rsidRPr="00A874A0">
      <w:rPr>
        <w:rFonts w:ascii="Myriad Pro" w:hAnsi="Myriad Pro"/>
        <w:color w:val="7F7F7F" w:themeColor="text1" w:themeTint="80"/>
        <w:sz w:val="14"/>
        <w:szCs w:val="14"/>
      </w:rPr>
      <w:t xml:space="preserve"> </w:t>
    </w:r>
    <w:r w:rsidR="00A044FD" w:rsidRPr="00A874A0">
      <w:rPr>
        <w:rFonts w:ascii="Myriad Pro" w:hAnsi="Myriad Pro"/>
        <w:color w:val="7F7F7F" w:themeColor="text1" w:themeTint="80"/>
        <w:sz w:val="14"/>
        <w:szCs w:val="14"/>
      </w:rPr>
      <w:t xml:space="preserve">Page </w:t>
    </w:r>
    <w:r w:rsidR="00A044FD" w:rsidRPr="00A874A0">
      <w:rPr>
        <w:rFonts w:ascii="Myriad Pro" w:hAnsi="Myriad Pro"/>
        <w:color w:val="7F7F7F" w:themeColor="text1" w:themeTint="80"/>
        <w:sz w:val="14"/>
        <w:szCs w:val="14"/>
      </w:rPr>
      <w:fldChar w:fldCharType="begin"/>
    </w:r>
    <w:r w:rsidR="00A044FD" w:rsidRPr="00A874A0">
      <w:rPr>
        <w:rFonts w:ascii="Myriad Pro" w:hAnsi="Myriad Pro"/>
        <w:color w:val="7F7F7F" w:themeColor="text1" w:themeTint="80"/>
        <w:sz w:val="14"/>
        <w:szCs w:val="14"/>
      </w:rPr>
      <w:instrText xml:space="preserve"> PAGE   \* MERGEFORMAT </w:instrText>
    </w:r>
    <w:r w:rsidR="00A044FD" w:rsidRPr="00A874A0">
      <w:rPr>
        <w:rFonts w:ascii="Myriad Pro" w:hAnsi="Myriad Pro"/>
        <w:color w:val="7F7F7F" w:themeColor="text1" w:themeTint="80"/>
        <w:sz w:val="14"/>
        <w:szCs w:val="14"/>
      </w:rPr>
      <w:fldChar w:fldCharType="separate"/>
    </w:r>
    <w:r w:rsidR="000E0B63">
      <w:rPr>
        <w:rFonts w:ascii="Myriad Pro" w:hAnsi="Myriad Pro"/>
        <w:noProof/>
        <w:color w:val="7F7F7F" w:themeColor="text1" w:themeTint="80"/>
        <w:sz w:val="14"/>
        <w:szCs w:val="14"/>
      </w:rPr>
      <w:t>2</w:t>
    </w:r>
    <w:r w:rsidR="00A044FD" w:rsidRPr="00A874A0">
      <w:rPr>
        <w:rFonts w:ascii="Myriad Pro" w:hAnsi="Myriad Pro"/>
        <w:noProof/>
        <w:color w:val="7F7F7F" w:themeColor="text1" w:themeTint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DF6AC" w14:textId="77777777" w:rsidR="00CF4595" w:rsidRDefault="00CF4595" w:rsidP="00FA3F57">
      <w:pPr>
        <w:spacing w:after="0" w:line="240" w:lineRule="auto"/>
      </w:pPr>
      <w:r>
        <w:separator/>
      </w:r>
    </w:p>
  </w:footnote>
  <w:footnote w:type="continuationSeparator" w:id="0">
    <w:p w14:paraId="144BF59C" w14:textId="77777777" w:rsidR="00CF4595" w:rsidRDefault="00CF4595" w:rsidP="00FA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71077" w14:textId="77777777" w:rsidR="0001656D" w:rsidRPr="0001656D" w:rsidRDefault="0001656D" w:rsidP="0001656D">
    <w:pPr>
      <w:pStyle w:val="Header"/>
      <w:ind w:left="90"/>
      <w:rPr>
        <w:rFonts w:ascii="Myriad Pro" w:hAnsi="Myriad Pro"/>
        <w:b/>
        <w:noProof/>
        <w:color w:val="005A9B"/>
        <w:sz w:val="24"/>
        <w:szCs w:val="24"/>
      </w:rPr>
    </w:pPr>
  </w:p>
  <w:p w14:paraId="0ECADA26" w14:textId="3D2165B1" w:rsidR="0001656D" w:rsidRDefault="0001656D" w:rsidP="0001656D">
    <w:pPr>
      <w:pStyle w:val="Header"/>
      <w:ind w:left="90"/>
      <w:rPr>
        <w:rFonts w:ascii="Myriad Pro" w:hAnsi="Myriad Pro"/>
        <w:b/>
        <w:noProof/>
        <w:color w:val="005A9B"/>
        <w:sz w:val="36"/>
        <w:szCs w:val="36"/>
      </w:rPr>
    </w:pPr>
    <w:r w:rsidRPr="003F08BF">
      <w:rPr>
        <w:rFonts w:cstheme="minorHAnsi"/>
        <w:b/>
        <w:noProof/>
        <w:color w:val="005A9B"/>
        <w:sz w:val="36"/>
        <w:szCs w:val="36"/>
      </w:rPr>
      <w:drawing>
        <wp:anchor distT="0" distB="0" distL="114300" distR="114300" simplePos="0" relativeHeight="251659264" behindDoc="1" locked="0" layoutInCell="0" allowOverlap="1" wp14:anchorId="171FAEF6" wp14:editId="3587CDF6">
          <wp:simplePos x="0" y="0"/>
          <wp:positionH relativeFrom="page">
            <wp:posOffset>0</wp:posOffset>
          </wp:positionH>
          <wp:positionV relativeFrom="page">
            <wp:posOffset>19050</wp:posOffset>
          </wp:positionV>
          <wp:extent cx="7771130" cy="10048875"/>
          <wp:effectExtent l="0" t="0" r="1270" b="9525"/>
          <wp:wrapNone/>
          <wp:docPr id="3" name="Picture 3" descr="Safety Director document template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y Director document template landsc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130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F08BF">
      <w:rPr>
        <w:rFonts w:ascii="Myriad Pro" w:hAnsi="Myriad Pro"/>
        <w:b/>
        <w:noProof/>
        <w:color w:val="005A9B"/>
        <w:sz w:val="36"/>
        <w:szCs w:val="36"/>
      </w:rPr>
      <w:t>Coronavirus Disease 2019 (COVID-19)</w:t>
    </w:r>
  </w:p>
  <w:p w14:paraId="7ED87F15" w14:textId="5FBFB882" w:rsidR="0001656D" w:rsidRDefault="0001656D" w:rsidP="0001656D">
    <w:pPr>
      <w:pStyle w:val="Header"/>
      <w:ind w:left="90"/>
      <w:rPr>
        <w:rFonts w:cs="Calibri"/>
        <w:bCs/>
        <w:noProof/>
        <w:color w:val="005A9B"/>
        <w:sz w:val="36"/>
        <w:szCs w:val="36"/>
      </w:rPr>
    </w:pPr>
    <w:r>
      <w:rPr>
        <w:rFonts w:cs="Calibri"/>
        <w:bCs/>
        <w:noProof/>
        <w:color w:val="005A9B"/>
        <w:sz w:val="36"/>
        <w:szCs w:val="36"/>
      </w:rPr>
      <w:t>Hospitality Preparedness Checklist</w:t>
    </w:r>
  </w:p>
  <w:p w14:paraId="59164604" w14:textId="77777777" w:rsidR="0001656D" w:rsidRPr="0001656D" w:rsidRDefault="0001656D" w:rsidP="0001656D">
    <w:pPr>
      <w:pStyle w:val="Header"/>
      <w:ind w:left="90"/>
      <w:rPr>
        <w:rFonts w:cs="Calibri"/>
        <w:b/>
        <w:noProof/>
        <w:color w:val="005A9B"/>
        <w:sz w:val="10"/>
        <w:szCs w:val="10"/>
      </w:rPr>
    </w:pPr>
  </w:p>
  <w:p w14:paraId="740D75C6" w14:textId="6E2C50BA" w:rsidR="00011186" w:rsidRPr="00A044FD" w:rsidRDefault="00011186" w:rsidP="00A874A0">
    <w:pPr>
      <w:pStyle w:val="Header"/>
      <w:ind w:left="180"/>
      <w:rPr>
        <w:rFonts w:cstheme="minorHAnsi"/>
        <w:color w:val="7F7F7F" w:themeColor="text1" w:themeTint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7C4"/>
    <w:multiLevelType w:val="hybridMultilevel"/>
    <w:tmpl w:val="C1380234"/>
    <w:lvl w:ilvl="0" w:tplc="C344B110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6F1A"/>
    <w:multiLevelType w:val="hybridMultilevel"/>
    <w:tmpl w:val="0A00E7C6"/>
    <w:lvl w:ilvl="0" w:tplc="D292CC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0279D"/>
    <w:multiLevelType w:val="hybridMultilevel"/>
    <w:tmpl w:val="C156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D4C3C"/>
    <w:multiLevelType w:val="hybridMultilevel"/>
    <w:tmpl w:val="E07EBF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57"/>
    <w:rsid w:val="00005418"/>
    <w:rsid w:val="0000690F"/>
    <w:rsid w:val="00011186"/>
    <w:rsid w:val="000149E3"/>
    <w:rsid w:val="0001656D"/>
    <w:rsid w:val="00023582"/>
    <w:rsid w:val="0002494C"/>
    <w:rsid w:val="00035469"/>
    <w:rsid w:val="00040F55"/>
    <w:rsid w:val="00047B76"/>
    <w:rsid w:val="00050305"/>
    <w:rsid w:val="000638D4"/>
    <w:rsid w:val="00073746"/>
    <w:rsid w:val="00075DE5"/>
    <w:rsid w:val="0008783E"/>
    <w:rsid w:val="00091DAB"/>
    <w:rsid w:val="00096327"/>
    <w:rsid w:val="000A25E7"/>
    <w:rsid w:val="000A702A"/>
    <w:rsid w:val="000C64EA"/>
    <w:rsid w:val="000D690E"/>
    <w:rsid w:val="000E0B63"/>
    <w:rsid w:val="000E1FF5"/>
    <w:rsid w:val="00114C44"/>
    <w:rsid w:val="00115558"/>
    <w:rsid w:val="0011747D"/>
    <w:rsid w:val="00122B40"/>
    <w:rsid w:val="00131280"/>
    <w:rsid w:val="0013559E"/>
    <w:rsid w:val="001545FD"/>
    <w:rsid w:val="00170F7C"/>
    <w:rsid w:val="00175842"/>
    <w:rsid w:val="001A5578"/>
    <w:rsid w:val="001E771B"/>
    <w:rsid w:val="0022248C"/>
    <w:rsid w:val="002229E5"/>
    <w:rsid w:val="00224573"/>
    <w:rsid w:val="002461B3"/>
    <w:rsid w:val="00265907"/>
    <w:rsid w:val="002759D8"/>
    <w:rsid w:val="00280A97"/>
    <w:rsid w:val="00280F25"/>
    <w:rsid w:val="002C7978"/>
    <w:rsid w:val="002D0A53"/>
    <w:rsid w:val="002E2B7C"/>
    <w:rsid w:val="0030239C"/>
    <w:rsid w:val="00331F24"/>
    <w:rsid w:val="00337203"/>
    <w:rsid w:val="00345918"/>
    <w:rsid w:val="00353DDA"/>
    <w:rsid w:val="003703C5"/>
    <w:rsid w:val="0037400D"/>
    <w:rsid w:val="00391ED6"/>
    <w:rsid w:val="003A6165"/>
    <w:rsid w:val="003B4AA5"/>
    <w:rsid w:val="003B711B"/>
    <w:rsid w:val="003C5FCC"/>
    <w:rsid w:val="003D1198"/>
    <w:rsid w:val="003D2A9D"/>
    <w:rsid w:val="003E4B11"/>
    <w:rsid w:val="004049DE"/>
    <w:rsid w:val="004066F6"/>
    <w:rsid w:val="00436C1E"/>
    <w:rsid w:val="00441F89"/>
    <w:rsid w:val="00464060"/>
    <w:rsid w:val="004B5D7F"/>
    <w:rsid w:val="004D566C"/>
    <w:rsid w:val="004F3C86"/>
    <w:rsid w:val="004F4B0B"/>
    <w:rsid w:val="00504DF7"/>
    <w:rsid w:val="00510BF4"/>
    <w:rsid w:val="00570B49"/>
    <w:rsid w:val="00571B4F"/>
    <w:rsid w:val="00571F13"/>
    <w:rsid w:val="00581DB5"/>
    <w:rsid w:val="005832FA"/>
    <w:rsid w:val="00584938"/>
    <w:rsid w:val="00593432"/>
    <w:rsid w:val="005F0862"/>
    <w:rsid w:val="006007F6"/>
    <w:rsid w:val="00605B67"/>
    <w:rsid w:val="006164A6"/>
    <w:rsid w:val="00622BF5"/>
    <w:rsid w:val="00632E42"/>
    <w:rsid w:val="006543E3"/>
    <w:rsid w:val="006577C3"/>
    <w:rsid w:val="0067718A"/>
    <w:rsid w:val="00677195"/>
    <w:rsid w:val="006824C2"/>
    <w:rsid w:val="006827DD"/>
    <w:rsid w:val="006934B3"/>
    <w:rsid w:val="006A35D5"/>
    <w:rsid w:val="006C7CAE"/>
    <w:rsid w:val="006E15B7"/>
    <w:rsid w:val="006E5B7F"/>
    <w:rsid w:val="00707E15"/>
    <w:rsid w:val="00712F75"/>
    <w:rsid w:val="007223B7"/>
    <w:rsid w:val="007244A6"/>
    <w:rsid w:val="007260A0"/>
    <w:rsid w:val="00737FB0"/>
    <w:rsid w:val="00745CF0"/>
    <w:rsid w:val="0075772A"/>
    <w:rsid w:val="0076638A"/>
    <w:rsid w:val="007910EA"/>
    <w:rsid w:val="00793FC4"/>
    <w:rsid w:val="007E3B74"/>
    <w:rsid w:val="007E4108"/>
    <w:rsid w:val="008037C4"/>
    <w:rsid w:val="00842AF7"/>
    <w:rsid w:val="00847757"/>
    <w:rsid w:val="0085732B"/>
    <w:rsid w:val="00857FC2"/>
    <w:rsid w:val="008609BC"/>
    <w:rsid w:val="00863D5E"/>
    <w:rsid w:val="00875AC8"/>
    <w:rsid w:val="008968B2"/>
    <w:rsid w:val="008A0A8F"/>
    <w:rsid w:val="008B1559"/>
    <w:rsid w:val="008B1C80"/>
    <w:rsid w:val="008B287D"/>
    <w:rsid w:val="008B6BDC"/>
    <w:rsid w:val="008B726A"/>
    <w:rsid w:val="008C20CB"/>
    <w:rsid w:val="008C4D24"/>
    <w:rsid w:val="008C6899"/>
    <w:rsid w:val="008D08DF"/>
    <w:rsid w:val="008D7B1F"/>
    <w:rsid w:val="008E5A35"/>
    <w:rsid w:val="008F7F27"/>
    <w:rsid w:val="00917C63"/>
    <w:rsid w:val="00934637"/>
    <w:rsid w:val="009352EF"/>
    <w:rsid w:val="0096514C"/>
    <w:rsid w:val="009B3471"/>
    <w:rsid w:val="009F7005"/>
    <w:rsid w:val="00A044FD"/>
    <w:rsid w:val="00A06612"/>
    <w:rsid w:val="00A5355C"/>
    <w:rsid w:val="00A64F63"/>
    <w:rsid w:val="00A70D32"/>
    <w:rsid w:val="00A874A0"/>
    <w:rsid w:val="00A961B8"/>
    <w:rsid w:val="00A97C4B"/>
    <w:rsid w:val="00AA1B45"/>
    <w:rsid w:val="00AC2795"/>
    <w:rsid w:val="00B0198D"/>
    <w:rsid w:val="00B06C7A"/>
    <w:rsid w:val="00B273D8"/>
    <w:rsid w:val="00B35F57"/>
    <w:rsid w:val="00B40E03"/>
    <w:rsid w:val="00B417AE"/>
    <w:rsid w:val="00B43F71"/>
    <w:rsid w:val="00B46ACF"/>
    <w:rsid w:val="00B55CBB"/>
    <w:rsid w:val="00B66713"/>
    <w:rsid w:val="00B87108"/>
    <w:rsid w:val="00BB01CC"/>
    <w:rsid w:val="00BB6BD7"/>
    <w:rsid w:val="00BC0CE4"/>
    <w:rsid w:val="00BC2490"/>
    <w:rsid w:val="00BE7662"/>
    <w:rsid w:val="00C009F3"/>
    <w:rsid w:val="00C17570"/>
    <w:rsid w:val="00C20FE7"/>
    <w:rsid w:val="00C239B5"/>
    <w:rsid w:val="00C322C4"/>
    <w:rsid w:val="00C377EF"/>
    <w:rsid w:val="00C445CD"/>
    <w:rsid w:val="00C56FF2"/>
    <w:rsid w:val="00C5708B"/>
    <w:rsid w:val="00C655F9"/>
    <w:rsid w:val="00C85AE7"/>
    <w:rsid w:val="00CA0CCA"/>
    <w:rsid w:val="00CB1D7E"/>
    <w:rsid w:val="00CB22B7"/>
    <w:rsid w:val="00CB4B5B"/>
    <w:rsid w:val="00CB6B25"/>
    <w:rsid w:val="00CC1452"/>
    <w:rsid w:val="00CC3751"/>
    <w:rsid w:val="00CC6727"/>
    <w:rsid w:val="00CE13AE"/>
    <w:rsid w:val="00CF4595"/>
    <w:rsid w:val="00D265B3"/>
    <w:rsid w:val="00D32004"/>
    <w:rsid w:val="00D53696"/>
    <w:rsid w:val="00DC54F2"/>
    <w:rsid w:val="00DE01A4"/>
    <w:rsid w:val="00DE66A6"/>
    <w:rsid w:val="00DF379E"/>
    <w:rsid w:val="00E40C9B"/>
    <w:rsid w:val="00E50D79"/>
    <w:rsid w:val="00E70AC3"/>
    <w:rsid w:val="00E77B02"/>
    <w:rsid w:val="00E81C53"/>
    <w:rsid w:val="00E855A5"/>
    <w:rsid w:val="00E87A03"/>
    <w:rsid w:val="00E96F14"/>
    <w:rsid w:val="00EB2530"/>
    <w:rsid w:val="00EC15BA"/>
    <w:rsid w:val="00ED4761"/>
    <w:rsid w:val="00EE4CAE"/>
    <w:rsid w:val="00EF5048"/>
    <w:rsid w:val="00EF6432"/>
    <w:rsid w:val="00F1503F"/>
    <w:rsid w:val="00F2135C"/>
    <w:rsid w:val="00F40461"/>
    <w:rsid w:val="00F67686"/>
    <w:rsid w:val="00F706A4"/>
    <w:rsid w:val="00F81937"/>
    <w:rsid w:val="00F95274"/>
    <w:rsid w:val="00FA3F57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EECFE"/>
  <w15:docId w15:val="{06BEB0F4-6782-4FD8-A1BD-B8183F9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06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F5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A3F57"/>
  </w:style>
  <w:style w:type="paragraph" w:styleId="Footer">
    <w:name w:val="footer"/>
    <w:basedOn w:val="Normal"/>
    <w:link w:val="FooterChar"/>
    <w:uiPriority w:val="99"/>
    <w:unhideWhenUsed/>
    <w:rsid w:val="00FA3F5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A3F57"/>
  </w:style>
  <w:style w:type="character" w:styleId="Hyperlink">
    <w:name w:val="Hyperlink"/>
    <w:basedOn w:val="DefaultParagraphFont"/>
    <w:uiPriority w:val="99"/>
    <w:unhideWhenUsed/>
    <w:rsid w:val="00A64F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4F63"/>
    <w:pPr>
      <w:ind w:left="720"/>
      <w:contextualSpacing/>
    </w:pPr>
    <w:rPr>
      <w:rFonts w:asciiTheme="majorHAnsi" w:eastAsiaTheme="majorEastAsia" w:hAnsiTheme="majorHAnsi" w:cstheme="majorBidi"/>
      <w:lang w:bidi="en-US"/>
    </w:rPr>
  </w:style>
  <w:style w:type="paragraph" w:customStyle="1" w:styleId="NumberedList">
    <w:name w:val="Numbered List"/>
    <w:basedOn w:val="Normal"/>
    <w:qFormat/>
    <w:rsid w:val="00C655F9"/>
    <w:pPr>
      <w:numPr>
        <w:numId w:val="3"/>
      </w:numPr>
      <w:spacing w:after="0" w:line="240" w:lineRule="auto"/>
    </w:pPr>
    <w:rPr>
      <w:rFonts w:asciiTheme="minorHAnsi" w:eastAsia="Times New Roman" w:hAnsiTheme="minorHAnsi"/>
      <w:spacing w:val="8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pa.gov/pesticide-registration/list-n-disinfectants-use-against-sars-cov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MEMIC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Barden</dc:creator>
  <cp:lastModifiedBy>Morehouse, Randy</cp:lastModifiedBy>
  <cp:revision>2</cp:revision>
  <cp:lastPrinted>2018-09-24T18:36:00Z</cp:lastPrinted>
  <dcterms:created xsi:type="dcterms:W3CDTF">2020-04-27T13:40:00Z</dcterms:created>
  <dcterms:modified xsi:type="dcterms:W3CDTF">2020-04-27T13:40:00Z</dcterms:modified>
</cp:coreProperties>
</file>